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ef20082867_n2a.htm"/>
      <w:bookmarkStart w:id="1" w:name="ksef20082867_n2a"/>
      <w:bookmarkEnd w:id="0"/>
      <w:bookmarkEnd w:id="1"/>
      <w:r>
        <w:rPr>
          <w:rFonts w:ascii="Times New Roman" w:hAnsi="Times New Roman"/>
          <w:b/>
          <w:sz w:val="20"/>
        </w:rPr>
        <w:t>As filed with the Securities and Exchange Commission on September 28, 2026</w:t>
      </w:r>
    </w:p>
    <w:p>
      <w:pPr>
        <w:pStyle w:val="TextBody"/>
        <w:bidi w:val="0"/>
        <w:spacing w:before="0" w:after="0"/>
        <w:jc w:val="right"/>
        <w:rPr/>
      </w:pPr>
      <w:r>
        <w:rPr/>
      </w:r>
    </w:p>
    <w:p>
      <w:pPr>
        <w:pStyle w:val="TextBody"/>
        <w:bidi w:val="0"/>
        <w:spacing w:before="0" w:after="0"/>
        <w:jc w:val="right"/>
        <w:rPr>
          <w:rFonts w:ascii="Times New Roman" w:hAnsi="Times New Roman"/>
          <w:b/>
          <w:spacing w:val="0"/>
          <w:sz w:val="20"/>
        </w:rPr>
      </w:pPr>
      <w:r>
        <w:rPr>
          <w:rFonts w:ascii="Times New Roman" w:hAnsi="Times New Roman"/>
          <w:b/>
          <w:spacing w:val="0"/>
          <w:sz w:val="20"/>
        </w:rPr>
        <w:t>Securities Act File No. 333-295756</w:t>
      </w:r>
    </w:p>
    <w:p>
      <w:pPr>
        <w:pStyle w:val="TextBody"/>
        <w:bidi w:val="0"/>
        <w:spacing w:before="0" w:after="0"/>
        <w:jc w:val="right"/>
        <w:rPr>
          <w:rFonts w:ascii="Times New Roman" w:hAnsi="Times New Roman"/>
          <w:b/>
          <w:spacing w:val="0"/>
          <w:sz w:val="20"/>
        </w:rPr>
      </w:pPr>
      <w:r>
        <w:rPr>
          <w:rFonts w:ascii="Times New Roman" w:hAnsi="Times New Roman"/>
          <w:b/>
          <w:spacing w:val="0"/>
          <w:sz w:val="20"/>
        </w:rPr>
        <w:t>Investment Company Act File No. 814-01383</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8"/>
        </w:rPr>
      </w:pPr>
      <w:r>
        <w:rPr>
          <w:rFonts w:ascii="Times New Roman" w:hAnsi="Times New Roman"/>
          <w:b/>
          <w:sz w:val="28"/>
        </w:rPr>
        <w:t>UNITED STATES</w:t>
      </w:r>
      <w:r>
        <w:rPr>
          <w:rFonts w:ascii="Times New Roman" w:hAnsi="Times New Roman"/>
          <w:sz w:val="28"/>
        </w:rPr>
        <w:t xml:space="preserve"> </w:t>
      </w:r>
    </w:p>
    <w:p>
      <w:pPr>
        <w:pStyle w:val="TextBody"/>
        <w:bidi w:val="0"/>
        <w:spacing w:before="0" w:after="0"/>
        <w:jc w:val="center"/>
        <w:rPr>
          <w:rFonts w:ascii="Times New Roman" w:hAnsi="Times New Roman"/>
          <w:sz w:val="28"/>
        </w:rPr>
      </w:pPr>
      <w:r>
        <w:rPr>
          <w:rFonts w:ascii="Times New Roman" w:hAnsi="Times New Roman"/>
          <w:b/>
          <w:sz w:val="28"/>
        </w:rPr>
        <w:t>SECURITIES AND EXCHANGE COMMISSION</w:t>
      </w:r>
      <w:r>
        <w:rPr>
          <w:rFonts w:ascii="Times New Roman" w:hAnsi="Times New Roman"/>
          <w:sz w:val="28"/>
        </w:rPr>
        <w:t xml:space="preserve"> </w:t>
      </w:r>
    </w:p>
    <w:p>
      <w:pPr>
        <w:pStyle w:val="TextBody"/>
        <w:bidi w:val="0"/>
        <w:spacing w:before="0" w:after="0"/>
        <w:jc w:val="center"/>
        <w:rPr>
          <w:rFonts w:ascii="Times New Roman" w:hAnsi="Times New Roman"/>
          <w:sz w:val="24"/>
        </w:rPr>
      </w:pPr>
      <w:r>
        <w:rPr>
          <w:rFonts w:ascii="Times New Roman" w:hAnsi="Times New Roman"/>
          <w:b/>
          <w:sz w:val="24"/>
        </w:rPr>
        <w:t>Washington, D.C. 20549</w:t>
      </w:r>
      <w:r>
        <w:rPr>
          <w:rFonts w:ascii="Times New Roman" w:hAnsi="Times New Roman"/>
          <w:sz w:val="24"/>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36"/>
        </w:rPr>
      </w:pPr>
      <w:r>
        <w:rPr>
          <w:rFonts w:ascii="Times New Roman" w:hAnsi="Times New Roman"/>
          <w:b/>
          <w:sz w:val="36"/>
        </w:rPr>
        <w:t>FORM N-2</w:t>
      </w:r>
      <w:r>
        <w:rPr>
          <w:rFonts w:ascii="Times New Roman" w:hAnsi="Times New Roman"/>
          <w:sz w:val="36"/>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tbl>
      <w:tblPr>
        <w:tblW w:w="5638" w:type="dxa"/>
        <w:jc w:val="left"/>
        <w:tblInd w:w="0" w:type="dxa"/>
        <w:tblLayout w:type="fixed"/>
        <w:tblCellMar>
          <w:top w:w="28" w:type="dxa"/>
          <w:left w:w="28" w:type="dxa"/>
          <w:bottom w:w="28" w:type="dxa"/>
          <w:right w:w="28" w:type="dxa"/>
        </w:tblCellMar>
      </w:tblPr>
      <w:tblGrid>
        <w:gridCol w:w="161"/>
        <w:gridCol w:w="5116"/>
        <w:gridCol w:w="361"/>
      </w:tblGrid>
      <w:tr>
        <w:trPr/>
        <w:tc>
          <w:tcPr>
            <w:tcW w:w="161" w:type="dxa"/>
            <w:tcBorders/>
            <w:vAlign w:val="center"/>
          </w:tcPr>
          <w:p>
            <w:pPr>
              <w:pStyle w:val="TableContents"/>
              <w:bidi w:val="0"/>
              <w:spacing w:before="0" w:after="283"/>
              <w:jc w:val="left"/>
              <w:rPr/>
            </w:pPr>
            <w:r>
              <w:rPr/>
              <w:t> </w:t>
            </w:r>
          </w:p>
        </w:tc>
        <w:tc>
          <w:tcPr>
            <w:tcW w:w="511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center"/>
              <w:rPr/>
            </w:pPr>
            <w:r>
              <w:rPr/>
              <w:t> </w:t>
            </w:r>
          </w:p>
        </w:tc>
        <w:tc>
          <w:tcPr>
            <w:tcW w:w="5116" w:type="dxa"/>
            <w:tcBorders/>
            <w:vAlign w:val="center"/>
          </w:tcPr>
          <w:p>
            <w:pPr>
              <w:pStyle w:val="TableContents"/>
              <w:bidi w:val="0"/>
              <w:spacing w:before="0" w:after="283"/>
              <w:jc w:val="center"/>
              <w:rPr>
                <w:b/>
                <w:spacing w:val="0"/>
              </w:rPr>
            </w:pPr>
            <w:r>
              <w:rPr>
                <w:b/>
                <w:spacing w:val="0"/>
              </w:rPr>
              <w:t>REGISTRATION STATEMENT</w:t>
            </w:r>
            <w:r>
              <w:rPr>
                <w:b w:val="false"/>
                <w:spacing w:val="0"/>
              </w:rPr>
              <w:br/>
            </w:r>
            <w:r>
              <w:rPr>
                <w:b/>
                <w:spacing w:val="0"/>
              </w:rPr>
              <w:t>UNDER THE SECURITIES ACT OF 1933</w:t>
            </w:r>
            <w:r>
              <w:rPr>
                <w:b w:val="false"/>
                <w:spacing w:val="0"/>
              </w:rPr>
              <w:br/>
            </w:r>
            <w:r>
              <w:rPr>
                <w:b/>
                <w:spacing w:val="0"/>
              </w:rPr>
              <w:t>Pre-Effective Amendment No. 2</w:t>
            </w:r>
            <w:r>
              <w:rPr>
                <w:b w:val="false"/>
                <w:spacing w:val="0"/>
              </w:rPr>
              <w:br/>
            </w:r>
            <w:r>
              <w:rPr>
                <w:b/>
                <w:spacing w:val="0"/>
              </w:rPr>
              <w:t>Post-Effective Amendment No.</w:t>
            </w:r>
          </w:p>
        </w:tc>
        <w:tc>
          <w:tcPr>
            <w:tcW w:w="361" w:type="dxa"/>
            <w:tcBorders/>
            <w:vAlign w:val="center"/>
          </w:tcPr>
          <w:p>
            <w:pPr>
              <w:pStyle w:val="TableContents"/>
              <w:bidi w:val="0"/>
              <w:spacing w:before="0" w:after="283"/>
              <w:jc w:val="left"/>
              <w:rPr/>
            </w:pPr>
            <w:r>
              <w:rPr/>
              <w:t>☒</w:t>
            </w:r>
            <w:r>
              <w:rPr/>
              <w:br/>
              <w:t>☒</w:t>
              <w:br/>
              <w:t>☐</w:t>
            </w:r>
          </w:p>
        </w:tc>
      </w:tr>
      <w:tr>
        <w:trPr/>
        <w:tc>
          <w:tcPr>
            <w:tcW w:w="161" w:type="dxa"/>
            <w:tcBorders/>
            <w:vAlign w:val="center"/>
          </w:tcPr>
          <w:p>
            <w:pPr>
              <w:pStyle w:val="TableContents"/>
              <w:bidi w:val="0"/>
              <w:spacing w:before="0" w:after="283"/>
              <w:jc w:val="center"/>
              <w:rPr/>
            </w:pPr>
            <w:r>
              <w:rPr/>
              <w:t> </w:t>
            </w:r>
          </w:p>
        </w:tc>
        <w:tc>
          <w:tcPr>
            <w:tcW w:w="5116" w:type="dxa"/>
            <w:tcBorders/>
            <w:vAlign w:val="center"/>
          </w:tcPr>
          <w:p>
            <w:pPr>
              <w:pStyle w:val="TableContents"/>
              <w:bidi w:val="0"/>
              <w:spacing w:before="0" w:after="283"/>
              <w:jc w:val="center"/>
              <w:rPr>
                <w:spacing w:val="0"/>
              </w:rPr>
            </w:pPr>
            <w:r>
              <w:rPr>
                <w:spacing w:val="0"/>
              </w:rPr>
              <w:t>And</w:t>
            </w:r>
          </w:p>
        </w:tc>
        <w:tc>
          <w:tcPr>
            <w:tcW w:w="36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center"/>
              <w:rPr/>
            </w:pPr>
            <w:r>
              <w:rPr/>
              <w:t> </w:t>
            </w:r>
          </w:p>
        </w:tc>
        <w:tc>
          <w:tcPr>
            <w:tcW w:w="5116" w:type="dxa"/>
            <w:tcBorders/>
            <w:vAlign w:val="center"/>
          </w:tcPr>
          <w:p>
            <w:pPr>
              <w:pStyle w:val="TableContents"/>
              <w:bidi w:val="0"/>
              <w:spacing w:before="0" w:after="283"/>
              <w:jc w:val="center"/>
              <w:rPr>
                <w:b/>
                <w:spacing w:val="0"/>
              </w:rPr>
            </w:pPr>
            <w:r>
              <w:rPr>
                <w:b/>
                <w:spacing w:val="0"/>
              </w:rPr>
              <w:t>REGISTRATION STATEMENT UNDER THE</w:t>
            </w:r>
            <w:r>
              <w:rPr>
                <w:b w:val="false"/>
                <w:spacing w:val="0"/>
              </w:rPr>
              <w:br/>
            </w:r>
            <w:r>
              <w:rPr>
                <w:b/>
                <w:spacing w:val="0"/>
              </w:rPr>
              <w:t>INVESTMENT COMPANY ACT OF 1940</w:t>
            </w:r>
            <w:r>
              <w:rPr>
                <w:b w:val="false"/>
                <w:spacing w:val="0"/>
              </w:rPr>
              <w:br/>
            </w:r>
            <w:r>
              <w:rPr>
                <w:b/>
                <w:spacing w:val="0"/>
              </w:rPr>
              <w:t>Amendment No.</w:t>
            </w:r>
          </w:p>
        </w:tc>
        <w:tc>
          <w:tcPr>
            <w:tcW w:w="361" w:type="dxa"/>
            <w:tcBorders/>
            <w:vAlign w:val="center"/>
          </w:tcPr>
          <w:p>
            <w:pPr>
              <w:pStyle w:val="TableContents"/>
              <w:bidi w:val="0"/>
              <w:spacing w:before="0" w:after="283"/>
              <w:jc w:val="left"/>
              <w:rPr/>
            </w:pPr>
            <w:r>
              <w:rPr/>
              <w:t>☒</w:t>
            </w:r>
            <w:r>
              <w:rPr/>
              <w:br/>
              <w:t>☐</w:t>
            </w:r>
          </w:p>
        </w:tc>
      </w:tr>
    </w:tbl>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 New Roman" w:hAnsi="Times New Roman"/>
          <w:sz w:val="48"/>
        </w:rPr>
      </w:pPr>
      <w:r>
        <w:rPr>
          <w:rFonts w:ascii="Times New Roman" w:hAnsi="Times New Roman"/>
          <w:b/>
          <w:sz w:val="48"/>
        </w:rPr>
        <w:t>CHICAGO ATLANTIC BDC, INC.</w:t>
      </w:r>
      <w:r>
        <w:rPr>
          <w:rFonts w:ascii="Times New Roman" w:hAnsi="Times New Roman"/>
          <w:sz w:val="48"/>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600 Madison Avenue, Suite 1800</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New York, NY 10022</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(312) 625-9295</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(Address, Including Zip Code, and Telephone Number, Including Area Code, of Registrant’s Principal Executive Offices)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 w:hAnsi="Times New Roman"/>
          <w:b/>
          <w:sz w:val="20"/>
        </w:rPr>
        <w:t>Peter Sack</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Scott Gordon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Umesh Mahajan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Chicago Atlantic BDC,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600 Madison Avenue, Suite 1800</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New York, NY 10022</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(312) 625-9295</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(Name, Address, Including Zip Code, and Telephone Number, Including Area Code, of Agent For Service)</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 w:hAnsi="Times New Roman"/>
          <w:b/>
          <w:i/>
          <w:sz w:val="20"/>
        </w:rPr>
        <w:t>Copies to:</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Owen J. Pinkerton, Esq.</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Eversheds Sutherland (US) LLP</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700 Sixth Street, NW, Suite 700</w:t>
      </w:r>
      <w:r>
        <w:rPr>
          <w:rFonts w:ascii="Times New Roman" w:hAnsi="Times New Roman"/>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Washington, DC 20001</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Tel: (202) 383-0262</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 w:hAnsi="Times New Roman"/>
          <w:b/>
          <w:sz w:val="20"/>
        </w:rPr>
        <w:t>Approximate date of proposed public offering:</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b/>
          <w:sz w:val="20"/>
        </w:rPr>
      </w:pPr>
      <w:r>
        <w:rPr>
          <w:rFonts w:ascii="Times New Roman" w:hAnsi="Times New Roman"/>
          <w:b/>
          <w:sz w:val="20"/>
        </w:rPr>
        <w:t>From time to time after the effective date of this Registration Statement.</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tbl>
      <w:tblPr>
        <w:tblW w:w="10205" w:type="dxa"/>
        <w:jc w:val="left"/>
        <w:tblInd w:w="0" w:type="dxa"/>
        <w:tblLayout w:type="fixed"/>
        <w:tblCellMar>
          <w:top w:w="28" w:type="dxa"/>
          <w:left w:w="28" w:type="dxa"/>
          <w:bottom w:w="28" w:type="dxa"/>
          <w:right w:w="28" w:type="dxa"/>
        </w:tblCellMar>
      </w:tblPr>
      <w:tblGrid>
        <w:gridCol w:w="356"/>
        <w:gridCol w:w="9849"/>
      </w:tblGrid>
      <w:tr>
        <w:trPr/>
        <w:tc>
          <w:tcPr>
            <w:tcW w:w="356" w:type="dxa"/>
            <w:tcBorders/>
            <w:vAlign w:val="center"/>
          </w:tcPr>
          <w:p>
            <w:pPr>
              <w:pStyle w:val="TableContents"/>
              <w:bidi w:val="0"/>
              <w:spacing w:before="0" w:after="283"/>
              <w:jc w:val="left"/>
              <w:rPr/>
            </w:pPr>
            <w:r>
              <w:rPr/>
              <w:t> </w:t>
            </w:r>
          </w:p>
        </w:tc>
        <w:tc>
          <w:tcPr>
            <w:tcW w:w="9849" w:type="dxa"/>
            <w:tcBorders/>
            <w:vAlign w:val="center"/>
          </w:tcPr>
          <w:p>
            <w:pPr>
              <w:pStyle w:val="TableContents"/>
              <w:bidi w:val="0"/>
              <w:spacing w:before="0" w:after="283"/>
              <w:jc w:val="left"/>
              <w:rPr/>
            </w:pPr>
            <w:r>
              <w:rPr/>
              <w:t> </w:t>
            </w:r>
          </w:p>
        </w:tc>
      </w:tr>
      <w:tr>
        <w:trPr/>
        <w:tc>
          <w:tcPr>
            <w:tcW w:w="356" w:type="dxa"/>
            <w:tcBorders/>
            <w:tcMar>
              <w:top w:w="0" w:type="dxa"/>
              <w:left w:w="0" w:type="dxa"/>
              <w:bottom w:w="0" w:type="dxa"/>
              <w:right w:w="0" w:type="dxa"/>
            </w:tcMar>
            <w:vAlign w:val="center"/>
          </w:tcPr>
          <w:p>
            <w:pPr>
              <w:pStyle w:val="TableContents"/>
              <w:bidi w:val="0"/>
              <w:spacing w:before="0" w:after="0"/>
              <w:jc w:val="left"/>
              <w:rPr/>
            </w:pPr>
            <w:r>
              <w:rPr>
                <w:color w:val="000000"/>
              </w:rPr>
              <w:t>☐</w:t>
            </w:r>
            <w:r>
              <w:rPr/>
              <w:t xml:space="preserve"> </w:t>
            </w:r>
          </w:p>
        </w:tc>
        <w:tc>
          <w:tcPr>
            <w:tcW w:w="9849" w:type="dxa"/>
            <w:tcBorders/>
            <w:tcMar>
              <w:top w:w="0" w:type="dxa"/>
              <w:left w:w="0" w:type="dxa"/>
              <w:bottom w:w="0" w:type="dxa"/>
              <w:right w:w="0" w:type="dxa"/>
            </w:tcMar>
            <w:vAlign w:val="center"/>
          </w:tcPr>
          <w:p>
            <w:pPr>
              <w:pStyle w:val="TableContents"/>
              <w:bidi w:val="0"/>
              <w:spacing w:before="0" w:after="0"/>
              <w:jc w:val="left"/>
              <w:rPr>
                <w:color w:val="000000"/>
                <w:sz w:val="20"/>
              </w:rPr>
            </w:pPr>
            <w:r>
              <w:rPr>
                <w:color w:val="000000"/>
                <w:sz w:val="20"/>
              </w:rPr>
              <w:t xml:space="preserve">Check box if the only securities being registered on this Form are being offered pursuant to dividend or interest reinvestment plans. </w:t>
            </w:r>
          </w:p>
        </w:tc>
      </w:tr>
      <w:tr>
        <w:trPr/>
        <w:tc>
          <w:tcPr>
            <w:tcW w:w="356" w:type="dxa"/>
            <w:tcBorders/>
            <w:tcMar>
              <w:top w:w="0" w:type="dxa"/>
              <w:left w:w="0" w:type="dxa"/>
              <w:bottom w:w="0" w:type="dxa"/>
              <w:right w:w="0" w:type="dxa"/>
            </w:tcMar>
            <w:vAlign w:val="center"/>
          </w:tcPr>
          <w:p>
            <w:pPr>
              <w:pStyle w:val="TableContents"/>
              <w:bidi w:val="0"/>
              <w:spacing w:before="0" w:after="0"/>
              <w:jc w:val="left"/>
              <w:rPr/>
            </w:pPr>
            <w:r>
              <w:rPr>
                <w:color w:val="000000"/>
              </w:rPr>
              <w:t>☒</w:t>
            </w:r>
            <w:r>
              <w:rPr/>
              <w:t xml:space="preserve"> </w:t>
            </w:r>
          </w:p>
        </w:tc>
        <w:tc>
          <w:tcPr>
            <w:tcW w:w="9849" w:type="dxa"/>
            <w:tcBorders/>
            <w:tcMar>
              <w:top w:w="0" w:type="dxa"/>
              <w:left w:w="0" w:type="dxa"/>
              <w:bottom w:w="0" w:type="dxa"/>
              <w:right w:w="0" w:type="dxa"/>
            </w:tcMar>
            <w:vAlign w:val="center"/>
          </w:tcPr>
          <w:p>
            <w:pPr>
              <w:pStyle w:val="TableContents"/>
              <w:bidi w:val="0"/>
              <w:spacing w:before="0" w:after="0"/>
              <w:jc w:val="left"/>
              <w:rPr>
                <w:color w:val="000000"/>
                <w:sz w:val="20"/>
              </w:rPr>
            </w:pPr>
            <w:r>
              <w:rPr>
                <w:color w:val="000000"/>
                <w:sz w:val="20"/>
              </w:rPr>
              <w:t xml:space="preserve">Check box if any securities being registered on this Form will be offered on a delayed or continuous basis in reliance on Rule 415 under the Securities Act of 1933 (“Securities Act”), other than securities offered in connection with a dividend reinvestment plan. </w:t>
            </w:r>
          </w:p>
        </w:tc>
      </w:tr>
      <w:tr>
        <w:trPr/>
        <w:tc>
          <w:tcPr>
            <w:tcW w:w="356" w:type="dxa"/>
            <w:tcBorders/>
            <w:tcMar>
              <w:top w:w="0" w:type="dxa"/>
              <w:left w:w="0" w:type="dxa"/>
              <w:bottom w:w="0" w:type="dxa"/>
              <w:right w:w="0" w:type="dxa"/>
            </w:tcMar>
            <w:vAlign w:val="center"/>
          </w:tcPr>
          <w:p>
            <w:pPr>
              <w:pStyle w:val="TableContents"/>
              <w:bidi w:val="0"/>
              <w:spacing w:before="0" w:after="0"/>
              <w:jc w:val="left"/>
              <w:rPr/>
            </w:pPr>
            <w:r>
              <w:rPr>
                <w:color w:val="000000"/>
              </w:rPr>
              <w:t>☒</w:t>
            </w:r>
            <w:r>
              <w:rPr/>
              <w:t xml:space="preserve"> </w:t>
            </w:r>
          </w:p>
        </w:tc>
        <w:tc>
          <w:tcPr>
            <w:tcW w:w="9849" w:type="dxa"/>
            <w:tcBorders/>
            <w:tcMar>
              <w:top w:w="0" w:type="dxa"/>
              <w:left w:w="0" w:type="dxa"/>
              <w:bottom w:w="0" w:type="dxa"/>
              <w:right w:w="0" w:type="dxa"/>
            </w:tcMar>
            <w:vAlign w:val="center"/>
          </w:tcPr>
          <w:p>
            <w:pPr>
              <w:pStyle w:val="TableContents"/>
              <w:bidi w:val="0"/>
              <w:spacing w:before="0" w:after="0"/>
              <w:jc w:val="left"/>
              <w:rPr>
                <w:color w:val="000000"/>
                <w:sz w:val="20"/>
              </w:rPr>
            </w:pPr>
            <w:r>
              <w:rPr>
                <w:color w:val="000000"/>
                <w:sz w:val="20"/>
              </w:rPr>
              <w:t xml:space="preserve">Check box if this Form is a registration statement pursuant to General Instruction A.2 or a post-effective amendment thereto. </w:t>
            </w:r>
          </w:p>
        </w:tc>
      </w:tr>
      <w:tr>
        <w:trPr/>
        <w:tc>
          <w:tcPr>
            <w:tcW w:w="356" w:type="dxa"/>
            <w:tcBorders/>
            <w:tcMar>
              <w:top w:w="0" w:type="dxa"/>
              <w:left w:w="0" w:type="dxa"/>
              <w:bottom w:w="0" w:type="dxa"/>
              <w:right w:w="0" w:type="dxa"/>
            </w:tcMar>
            <w:vAlign w:val="center"/>
          </w:tcPr>
          <w:p>
            <w:pPr>
              <w:pStyle w:val="TableContents"/>
              <w:bidi w:val="0"/>
              <w:spacing w:before="0" w:after="0"/>
              <w:jc w:val="left"/>
              <w:rPr/>
            </w:pPr>
            <w:r>
              <w:rPr>
                <w:color w:val="000000"/>
              </w:rPr>
              <w:t>☐</w:t>
            </w:r>
            <w:r>
              <w:rPr/>
              <w:t xml:space="preserve"> </w:t>
            </w:r>
          </w:p>
        </w:tc>
        <w:tc>
          <w:tcPr>
            <w:tcW w:w="9849" w:type="dxa"/>
            <w:tcBorders/>
            <w:tcMar>
              <w:top w:w="0" w:type="dxa"/>
              <w:left w:w="0" w:type="dxa"/>
              <w:bottom w:w="0" w:type="dxa"/>
              <w:right w:w="0" w:type="dxa"/>
            </w:tcMar>
            <w:vAlign w:val="center"/>
          </w:tcPr>
          <w:p>
            <w:pPr>
              <w:pStyle w:val="TableContents"/>
              <w:bidi w:val="0"/>
              <w:spacing w:before="0" w:after="0"/>
              <w:jc w:val="left"/>
              <w:rPr>
                <w:color w:val="000000"/>
                <w:sz w:val="20"/>
              </w:rPr>
            </w:pPr>
            <w:r>
              <w:rPr>
                <w:color w:val="000000"/>
                <w:sz w:val="20"/>
              </w:rPr>
              <w:t xml:space="preserve">Check box if this Form is a registration statement pursuant to General Instruction B or a post-effective amendment thereto that will become effective upon filing with the Commission pursuant to Rule 462(e) under the Securities Act. </w:t>
            </w:r>
          </w:p>
        </w:tc>
      </w:tr>
      <w:tr>
        <w:trPr/>
        <w:tc>
          <w:tcPr>
            <w:tcW w:w="356" w:type="dxa"/>
            <w:tcBorders/>
            <w:tcMar>
              <w:top w:w="0" w:type="dxa"/>
              <w:left w:w="0" w:type="dxa"/>
              <w:bottom w:w="0" w:type="dxa"/>
              <w:right w:w="0" w:type="dxa"/>
            </w:tcMar>
            <w:vAlign w:val="center"/>
          </w:tcPr>
          <w:p>
            <w:pPr>
              <w:pStyle w:val="TableContents"/>
              <w:bidi w:val="0"/>
              <w:spacing w:before="0" w:after="0"/>
              <w:jc w:val="left"/>
              <w:rPr/>
            </w:pPr>
            <w:r>
              <w:rPr>
                <w:color w:val="000000"/>
              </w:rPr>
              <w:t>☐</w:t>
            </w:r>
            <w:r>
              <w:rPr/>
              <w:t xml:space="preserve"> </w:t>
            </w:r>
          </w:p>
        </w:tc>
        <w:tc>
          <w:tcPr>
            <w:tcW w:w="9849" w:type="dxa"/>
            <w:tcBorders/>
            <w:tcMar>
              <w:top w:w="0" w:type="dxa"/>
              <w:left w:w="0" w:type="dxa"/>
              <w:bottom w:w="0" w:type="dxa"/>
              <w:right w:w="0" w:type="dxa"/>
            </w:tcMar>
            <w:vAlign w:val="center"/>
          </w:tcPr>
          <w:p>
            <w:pPr>
              <w:pStyle w:val="TableContents"/>
              <w:bidi w:val="0"/>
              <w:spacing w:before="0" w:after="0"/>
              <w:jc w:val="left"/>
              <w:rPr>
                <w:color w:val="000000"/>
                <w:sz w:val="20"/>
              </w:rPr>
            </w:pPr>
            <w:r>
              <w:rPr>
                <w:color w:val="000000"/>
                <w:sz w:val="20"/>
              </w:rPr>
              <w:t xml:space="preserve">Check box if this Form is a post-effective amendment to a registration statement filed pursuant to General Instruction B to register additional securities or additional classes of securities pursuant to Rule 413(b) under the Securities Act. </w:t>
            </w:r>
          </w:p>
        </w:tc>
      </w:tr>
      <w:tr>
        <w:trPr/>
        <w:tc>
          <w:tcPr>
            <w:tcW w:w="10205" w:type="dxa"/>
            <w:gridSpan w:val="2"/>
            <w:tcBorders/>
            <w:vAlign w:val="center"/>
          </w:tcPr>
          <w:p>
            <w:pPr>
              <w:pStyle w:val="TableContents"/>
              <w:bidi w:val="0"/>
              <w:spacing w:before="0" w:after="0"/>
              <w:jc w:val="left"/>
              <w:rPr>
                <w:color w:val="000000"/>
                <w:sz w:val="20"/>
              </w:rPr>
            </w:pPr>
            <w:r>
              <w:rPr>
                <w:color w:val="000000"/>
                <w:sz w:val="20"/>
              </w:rPr>
              <w:t xml:space="preserve">It is proposed that this filing will become effective (check appropriate box): </w:t>
            </w:r>
          </w:p>
        </w:tc>
      </w:tr>
      <w:tr>
        <w:trPr/>
        <w:tc>
          <w:tcPr>
            <w:tcW w:w="356" w:type="dxa"/>
            <w:tcBorders/>
            <w:tcMar>
              <w:top w:w="0" w:type="dxa"/>
              <w:left w:w="0" w:type="dxa"/>
              <w:bottom w:w="0" w:type="dxa"/>
              <w:right w:w="0" w:type="dxa"/>
            </w:tcMar>
            <w:vAlign w:val="center"/>
          </w:tcPr>
          <w:p>
            <w:pPr>
              <w:pStyle w:val="TableContents"/>
              <w:bidi w:val="0"/>
              <w:spacing w:before="0" w:after="0"/>
              <w:jc w:val="left"/>
              <w:rPr/>
            </w:pPr>
            <w:r>
              <w:rPr>
                <w:color w:val="000000"/>
              </w:rPr>
              <w:t>☐</w:t>
            </w:r>
            <w:r>
              <w:rPr/>
              <w:t xml:space="preserve"> </w:t>
            </w:r>
          </w:p>
        </w:tc>
        <w:tc>
          <w:tcPr>
            <w:tcW w:w="9849" w:type="dxa"/>
            <w:tcBorders/>
            <w:tcMar>
              <w:top w:w="0" w:type="dxa"/>
              <w:left w:w="0" w:type="dxa"/>
              <w:bottom w:w="0" w:type="dxa"/>
              <w:right w:w="0" w:type="dxa"/>
            </w:tcMar>
            <w:vAlign w:val="center"/>
          </w:tcPr>
          <w:p>
            <w:pPr>
              <w:pStyle w:val="TableContents"/>
              <w:bidi w:val="0"/>
              <w:spacing w:before="0" w:after="0"/>
              <w:jc w:val="left"/>
              <w:rPr>
                <w:color w:val="000000"/>
                <w:sz w:val="20"/>
              </w:rPr>
            </w:pPr>
            <w:r>
              <w:rPr>
                <w:color w:val="000000"/>
                <w:sz w:val="20"/>
              </w:rPr>
              <w:t xml:space="preserve">when declared effective pursuant to section 8(c) </w:t>
            </w:r>
          </w:p>
        </w:tc>
      </w:tr>
      <w:tr>
        <w:trPr/>
        <w:tc>
          <w:tcPr>
            <w:tcW w:w="10205" w:type="dxa"/>
            <w:gridSpan w:val="2"/>
            <w:tcBorders/>
            <w:vAlign w:val="center"/>
          </w:tcPr>
          <w:p>
            <w:pPr>
              <w:pStyle w:val="TableContents"/>
              <w:bidi w:val="0"/>
              <w:spacing w:before="0" w:after="0"/>
              <w:jc w:val="left"/>
              <w:rPr>
                <w:color w:val="000000"/>
                <w:sz w:val="20"/>
              </w:rPr>
            </w:pPr>
            <w:r>
              <w:rPr>
                <w:color w:val="000000"/>
                <w:sz w:val="20"/>
              </w:rPr>
              <w:t xml:space="preserve">If appropriate, check the following box: </w:t>
            </w:r>
          </w:p>
        </w:tc>
      </w:tr>
      <w:tr>
        <w:trPr/>
        <w:tc>
          <w:tcPr>
            <w:tcW w:w="356" w:type="dxa"/>
            <w:tcBorders/>
            <w:tcMar>
              <w:top w:w="0" w:type="dxa"/>
              <w:left w:w="0" w:type="dxa"/>
              <w:bottom w:w="0" w:type="dxa"/>
              <w:right w:w="0" w:type="dxa"/>
            </w:tcMar>
            <w:vAlign w:val="center"/>
          </w:tcPr>
          <w:p>
            <w:pPr>
              <w:pStyle w:val="TableContents"/>
              <w:bidi w:val="0"/>
              <w:spacing w:before="0" w:after="0"/>
              <w:jc w:val="left"/>
              <w:rPr/>
            </w:pPr>
            <w:r>
              <w:rPr>
                <w:color w:val="000000"/>
              </w:rPr>
              <w:t>☐</w:t>
            </w:r>
            <w:r>
              <w:rPr/>
              <w:t xml:space="preserve"> </w:t>
            </w:r>
          </w:p>
        </w:tc>
        <w:tc>
          <w:tcPr>
            <w:tcW w:w="9849" w:type="dxa"/>
            <w:tcBorders/>
            <w:tcMar>
              <w:top w:w="0" w:type="dxa"/>
              <w:left w:w="0" w:type="dxa"/>
              <w:bottom w:w="0" w:type="dxa"/>
              <w:right w:w="0" w:type="dxa"/>
            </w:tcMar>
            <w:vAlign w:val="center"/>
          </w:tcPr>
          <w:p>
            <w:pPr>
              <w:pStyle w:val="TableContents"/>
              <w:bidi w:val="0"/>
              <w:spacing w:before="0" w:after="0"/>
              <w:jc w:val="left"/>
              <w:rPr/>
            </w:pPr>
            <w:r>
              <w:rPr>
                <w:color w:val="000000"/>
                <w:sz w:val="20"/>
              </w:rPr>
              <w:t>This [post-effective] amendment designates a new effective date for a previously filed [post-effective amendment] [registration statement].</w:t>
            </w:r>
            <w:r>
              <w:rPr/>
              <w:t xml:space="preserve"> </w:t>
            </w:r>
          </w:p>
        </w:tc>
      </w:tr>
      <w:tr>
        <w:trPr/>
        <w:tc>
          <w:tcPr>
            <w:tcW w:w="356" w:type="dxa"/>
            <w:tcBorders/>
            <w:tcMar>
              <w:top w:w="0" w:type="dxa"/>
              <w:left w:w="0" w:type="dxa"/>
              <w:bottom w:w="0" w:type="dxa"/>
              <w:right w:w="0" w:type="dxa"/>
            </w:tcMar>
            <w:vAlign w:val="center"/>
          </w:tcPr>
          <w:p>
            <w:pPr>
              <w:pStyle w:val="TableContents"/>
              <w:bidi w:val="0"/>
              <w:spacing w:before="0" w:after="0"/>
              <w:jc w:val="left"/>
              <w:rPr/>
            </w:pPr>
            <w:r>
              <w:rPr>
                <w:color w:val="000000"/>
              </w:rPr>
              <w:t>☐</w:t>
            </w:r>
            <w:r>
              <w:rPr/>
              <w:t xml:space="preserve"> </w:t>
            </w:r>
          </w:p>
        </w:tc>
        <w:tc>
          <w:tcPr>
            <w:tcW w:w="9849" w:type="dxa"/>
            <w:tcBorders/>
            <w:tcMar>
              <w:top w:w="0" w:type="dxa"/>
              <w:left w:w="0" w:type="dxa"/>
              <w:bottom w:w="0" w:type="dxa"/>
              <w:right w:w="0" w:type="dxa"/>
            </w:tcMar>
            <w:vAlign w:val="center"/>
          </w:tcPr>
          <w:p>
            <w:pPr>
              <w:pStyle w:val="TableContents"/>
              <w:bidi w:val="0"/>
              <w:spacing w:before="0" w:after="0"/>
              <w:jc w:val="left"/>
              <w:rPr>
                <w:color w:val="000000"/>
                <w:sz w:val="20"/>
              </w:rPr>
            </w:pPr>
            <w:r>
              <w:rPr>
                <w:color w:val="000000"/>
                <w:sz w:val="20"/>
              </w:rPr>
              <w:t xml:space="preserve">This Form is filed to register additional securities for an offering pursuant to Rule 462(b) under the Securities Act, and the Securities Act registration statement number of the earlier effective registration statement for the same offering is: </w:t>
            </w:r>
          </w:p>
        </w:tc>
      </w:tr>
      <w:tr>
        <w:trPr/>
        <w:tc>
          <w:tcPr>
            <w:tcW w:w="356" w:type="dxa"/>
            <w:tcBorders/>
            <w:tcMar>
              <w:top w:w="0" w:type="dxa"/>
              <w:left w:w="0" w:type="dxa"/>
              <w:bottom w:w="0" w:type="dxa"/>
              <w:right w:w="0" w:type="dxa"/>
            </w:tcMar>
            <w:vAlign w:val="center"/>
          </w:tcPr>
          <w:p>
            <w:pPr>
              <w:pStyle w:val="TableContents"/>
              <w:bidi w:val="0"/>
              <w:spacing w:before="0" w:after="0"/>
              <w:jc w:val="left"/>
              <w:rPr/>
            </w:pPr>
            <w:r>
              <w:rPr>
                <w:color w:val="000000"/>
              </w:rPr>
              <w:t>☐</w:t>
            </w:r>
            <w:r>
              <w:rPr/>
              <w:t xml:space="preserve"> </w:t>
            </w:r>
          </w:p>
        </w:tc>
        <w:tc>
          <w:tcPr>
            <w:tcW w:w="9849" w:type="dxa"/>
            <w:tcBorders/>
            <w:tcMar>
              <w:top w:w="0" w:type="dxa"/>
              <w:left w:w="0" w:type="dxa"/>
              <w:bottom w:w="0" w:type="dxa"/>
              <w:right w:w="0" w:type="dxa"/>
            </w:tcMar>
            <w:vAlign w:val="center"/>
          </w:tcPr>
          <w:p>
            <w:pPr>
              <w:pStyle w:val="TableContents"/>
              <w:bidi w:val="0"/>
              <w:spacing w:before="0" w:after="0"/>
              <w:jc w:val="left"/>
              <w:rPr>
                <w:color w:val="000000"/>
                <w:sz w:val="20"/>
              </w:rPr>
            </w:pPr>
            <w:r>
              <w:rPr>
                <w:color w:val="000000"/>
                <w:sz w:val="20"/>
              </w:rPr>
              <w:t xml:space="preserve">This Form is a post-effective amendment filed pursuant to Rule 462(c) under the Securities Act, and the Securities Act registration statement number of the earlier effective registration statement for the same offering is: </w:t>
            </w:r>
          </w:p>
        </w:tc>
      </w:tr>
      <w:tr>
        <w:trPr/>
        <w:tc>
          <w:tcPr>
            <w:tcW w:w="356" w:type="dxa"/>
            <w:tcBorders/>
            <w:tcMar>
              <w:top w:w="0" w:type="dxa"/>
              <w:left w:w="0" w:type="dxa"/>
              <w:bottom w:w="0" w:type="dxa"/>
              <w:right w:w="0" w:type="dxa"/>
            </w:tcMar>
            <w:vAlign w:val="center"/>
          </w:tcPr>
          <w:p>
            <w:pPr>
              <w:pStyle w:val="TableContents"/>
              <w:bidi w:val="0"/>
              <w:spacing w:before="0" w:after="0"/>
              <w:jc w:val="left"/>
              <w:rPr/>
            </w:pPr>
            <w:r>
              <w:rPr>
                <w:color w:val="000000"/>
              </w:rPr>
              <w:t>☐</w:t>
            </w:r>
            <w:r>
              <w:rPr/>
              <w:t xml:space="preserve"> </w:t>
            </w:r>
          </w:p>
        </w:tc>
        <w:tc>
          <w:tcPr>
            <w:tcW w:w="9849" w:type="dxa"/>
            <w:tcBorders/>
            <w:tcMar>
              <w:top w:w="0" w:type="dxa"/>
              <w:left w:w="0" w:type="dxa"/>
              <w:bottom w:w="0" w:type="dxa"/>
              <w:right w:w="0" w:type="dxa"/>
            </w:tcMar>
            <w:vAlign w:val="center"/>
          </w:tcPr>
          <w:p>
            <w:pPr>
              <w:pStyle w:val="TableContents"/>
              <w:bidi w:val="0"/>
              <w:spacing w:before="0" w:after="0"/>
              <w:jc w:val="left"/>
              <w:rPr>
                <w:color w:val="000000"/>
                <w:sz w:val="20"/>
              </w:rPr>
            </w:pPr>
            <w:r>
              <w:rPr>
                <w:color w:val="000000"/>
                <w:sz w:val="20"/>
              </w:rPr>
              <w:t xml:space="preserve">This Form is a post-effective amendment filed pursuant to Rule 462(d) under the Securities Act, and the Securities Act registration statement number of the earlier effective registration statement for the same offering is: </w:t>
            </w:r>
          </w:p>
        </w:tc>
      </w:tr>
      <w:tr>
        <w:trPr/>
        <w:tc>
          <w:tcPr>
            <w:tcW w:w="10205" w:type="dxa"/>
            <w:gridSpan w:val="2"/>
            <w:tcBorders/>
            <w:vAlign w:val="center"/>
          </w:tcPr>
          <w:p>
            <w:pPr>
              <w:pStyle w:val="TableContents"/>
              <w:bidi w:val="0"/>
              <w:spacing w:before="0" w:after="0"/>
              <w:jc w:val="left"/>
              <w:rPr>
                <w:color w:val="000000"/>
                <w:sz w:val="20"/>
              </w:rPr>
            </w:pPr>
            <w:r>
              <w:rPr>
                <w:color w:val="000000"/>
                <w:sz w:val="20"/>
              </w:rPr>
              <w:t xml:space="preserve">Check each box that properly characterizes the Registrant: </w:t>
            </w:r>
          </w:p>
        </w:tc>
      </w:tr>
      <w:tr>
        <w:trPr/>
        <w:tc>
          <w:tcPr>
            <w:tcW w:w="356" w:type="dxa"/>
            <w:tcBorders/>
            <w:tcMar>
              <w:top w:w="0" w:type="dxa"/>
              <w:left w:w="0" w:type="dxa"/>
              <w:bottom w:w="0" w:type="dxa"/>
              <w:right w:w="0" w:type="dxa"/>
            </w:tcMar>
            <w:vAlign w:val="center"/>
          </w:tcPr>
          <w:p>
            <w:pPr>
              <w:pStyle w:val="TableContents"/>
              <w:bidi w:val="0"/>
              <w:spacing w:before="0" w:after="0"/>
              <w:jc w:val="left"/>
              <w:rPr/>
            </w:pPr>
            <w:r>
              <w:rPr>
                <w:color w:val="000000"/>
              </w:rPr>
              <w:t>☐</w:t>
            </w:r>
            <w:r>
              <w:rPr/>
              <w:t xml:space="preserve"> </w:t>
            </w:r>
          </w:p>
        </w:tc>
        <w:tc>
          <w:tcPr>
            <w:tcW w:w="9849" w:type="dxa"/>
            <w:tcBorders/>
            <w:tcMar>
              <w:top w:w="0" w:type="dxa"/>
              <w:left w:w="0" w:type="dxa"/>
              <w:bottom w:w="0" w:type="dxa"/>
              <w:right w:w="0" w:type="dxa"/>
            </w:tcMar>
            <w:vAlign w:val="center"/>
          </w:tcPr>
          <w:p>
            <w:pPr>
              <w:pStyle w:val="TableContents"/>
              <w:bidi w:val="0"/>
              <w:spacing w:before="0" w:after="0"/>
              <w:jc w:val="left"/>
              <w:rPr>
                <w:color w:val="000000"/>
                <w:sz w:val="20"/>
              </w:rPr>
            </w:pPr>
            <w:r>
              <w:rPr>
                <w:color w:val="000000"/>
                <w:sz w:val="20"/>
              </w:rPr>
              <w:t xml:space="preserve">Registered Closed-End Fund (closed-end company that is registered under the Investment Company Act of 1940 (“Investment Company Act”)). </w:t>
            </w:r>
          </w:p>
        </w:tc>
      </w:tr>
      <w:tr>
        <w:trPr/>
        <w:tc>
          <w:tcPr>
            <w:tcW w:w="356" w:type="dxa"/>
            <w:tcBorders/>
            <w:tcMar>
              <w:top w:w="0" w:type="dxa"/>
              <w:left w:w="0" w:type="dxa"/>
              <w:bottom w:w="0" w:type="dxa"/>
              <w:right w:w="0" w:type="dxa"/>
            </w:tcMar>
            <w:vAlign w:val="center"/>
          </w:tcPr>
          <w:p>
            <w:pPr>
              <w:pStyle w:val="TableContents"/>
              <w:bidi w:val="0"/>
              <w:spacing w:before="0" w:after="0"/>
              <w:jc w:val="left"/>
              <w:rPr/>
            </w:pPr>
            <w:r>
              <w:rPr>
                <w:color w:val="000000"/>
              </w:rPr>
              <w:t>☒</w:t>
            </w:r>
            <w:r>
              <w:rPr/>
              <w:t xml:space="preserve"> </w:t>
            </w:r>
          </w:p>
        </w:tc>
        <w:tc>
          <w:tcPr>
            <w:tcW w:w="9849" w:type="dxa"/>
            <w:tcBorders/>
            <w:tcMar>
              <w:top w:w="0" w:type="dxa"/>
              <w:left w:w="0" w:type="dxa"/>
              <w:bottom w:w="0" w:type="dxa"/>
              <w:right w:w="0" w:type="dxa"/>
            </w:tcMar>
            <w:vAlign w:val="center"/>
          </w:tcPr>
          <w:p>
            <w:pPr>
              <w:pStyle w:val="TableContents"/>
              <w:bidi w:val="0"/>
              <w:spacing w:before="0" w:after="0"/>
              <w:jc w:val="left"/>
              <w:rPr>
                <w:color w:val="000000"/>
                <w:sz w:val="20"/>
              </w:rPr>
            </w:pPr>
            <w:r>
              <w:rPr>
                <w:color w:val="000000"/>
                <w:sz w:val="20"/>
              </w:rPr>
              <w:t xml:space="preserve">Business Development Company (closed-end company that intends or has elected to be regulated as a business development company under the Investment Company Act). </w:t>
            </w:r>
          </w:p>
        </w:tc>
      </w:tr>
      <w:tr>
        <w:trPr/>
        <w:tc>
          <w:tcPr>
            <w:tcW w:w="356" w:type="dxa"/>
            <w:tcBorders/>
            <w:tcMar>
              <w:top w:w="0" w:type="dxa"/>
              <w:left w:w="0" w:type="dxa"/>
              <w:bottom w:w="0" w:type="dxa"/>
              <w:right w:w="0" w:type="dxa"/>
            </w:tcMar>
            <w:vAlign w:val="center"/>
          </w:tcPr>
          <w:p>
            <w:pPr>
              <w:pStyle w:val="TableContents"/>
              <w:bidi w:val="0"/>
              <w:spacing w:before="0" w:after="0"/>
              <w:jc w:val="left"/>
              <w:rPr/>
            </w:pPr>
            <w:r>
              <w:rPr>
                <w:color w:val="000000"/>
              </w:rPr>
              <w:t>☐</w:t>
            </w:r>
            <w:r>
              <w:rPr/>
              <w:t xml:space="preserve"> </w:t>
            </w:r>
          </w:p>
        </w:tc>
        <w:tc>
          <w:tcPr>
            <w:tcW w:w="9849" w:type="dxa"/>
            <w:tcBorders/>
            <w:tcMar>
              <w:top w:w="0" w:type="dxa"/>
              <w:left w:w="0" w:type="dxa"/>
              <w:bottom w:w="0" w:type="dxa"/>
              <w:right w:w="0" w:type="dxa"/>
            </w:tcMar>
            <w:vAlign w:val="center"/>
          </w:tcPr>
          <w:p>
            <w:pPr>
              <w:pStyle w:val="TableContents"/>
              <w:bidi w:val="0"/>
              <w:spacing w:before="0" w:after="0"/>
              <w:jc w:val="left"/>
              <w:rPr>
                <w:color w:val="000000"/>
                <w:sz w:val="20"/>
              </w:rPr>
            </w:pPr>
            <w:r>
              <w:rPr>
                <w:color w:val="000000"/>
                <w:sz w:val="20"/>
              </w:rPr>
              <w:t xml:space="preserve">Interval Fund (Registered Closed-End Fund or a Business Development Company that makes periodic repurchase offers under Rule 23c-3 under the Investment Company Act). </w:t>
            </w:r>
          </w:p>
        </w:tc>
      </w:tr>
      <w:tr>
        <w:trPr/>
        <w:tc>
          <w:tcPr>
            <w:tcW w:w="356" w:type="dxa"/>
            <w:tcBorders/>
            <w:tcMar>
              <w:top w:w="0" w:type="dxa"/>
              <w:left w:w="0" w:type="dxa"/>
              <w:bottom w:w="0" w:type="dxa"/>
              <w:right w:w="0" w:type="dxa"/>
            </w:tcMar>
            <w:vAlign w:val="center"/>
          </w:tcPr>
          <w:p>
            <w:pPr>
              <w:pStyle w:val="TableContents"/>
              <w:bidi w:val="0"/>
              <w:spacing w:before="0" w:after="0"/>
              <w:jc w:val="left"/>
              <w:rPr/>
            </w:pPr>
            <w:r>
              <w:rPr>
                <w:color w:val="000000"/>
              </w:rPr>
              <w:t>☒</w:t>
            </w:r>
            <w:r>
              <w:rPr/>
              <w:t xml:space="preserve"> </w:t>
            </w:r>
          </w:p>
        </w:tc>
        <w:tc>
          <w:tcPr>
            <w:tcW w:w="9849" w:type="dxa"/>
            <w:tcBorders/>
            <w:tcMar>
              <w:top w:w="0" w:type="dxa"/>
              <w:left w:w="0" w:type="dxa"/>
              <w:bottom w:w="0" w:type="dxa"/>
              <w:right w:w="0" w:type="dxa"/>
            </w:tcMar>
            <w:vAlign w:val="center"/>
          </w:tcPr>
          <w:p>
            <w:pPr>
              <w:pStyle w:val="TableContents"/>
              <w:bidi w:val="0"/>
              <w:spacing w:before="0" w:after="0"/>
              <w:jc w:val="left"/>
              <w:rPr>
                <w:color w:val="000000"/>
                <w:sz w:val="20"/>
              </w:rPr>
            </w:pPr>
            <w:r>
              <w:rPr>
                <w:color w:val="000000"/>
                <w:sz w:val="20"/>
              </w:rPr>
              <w:t xml:space="preserve">A.2 Qualified (qualified to register securities pursuant to General Instruction A.2 of this Form). </w:t>
            </w:r>
          </w:p>
        </w:tc>
      </w:tr>
      <w:tr>
        <w:trPr/>
        <w:tc>
          <w:tcPr>
            <w:tcW w:w="356" w:type="dxa"/>
            <w:tcBorders/>
            <w:tcMar>
              <w:top w:w="0" w:type="dxa"/>
              <w:left w:w="0" w:type="dxa"/>
              <w:bottom w:w="0" w:type="dxa"/>
              <w:right w:w="0" w:type="dxa"/>
            </w:tcMar>
            <w:vAlign w:val="center"/>
          </w:tcPr>
          <w:p>
            <w:pPr>
              <w:pStyle w:val="TableContents"/>
              <w:bidi w:val="0"/>
              <w:spacing w:before="0" w:after="0"/>
              <w:jc w:val="left"/>
              <w:rPr/>
            </w:pPr>
            <w:r>
              <w:rPr>
                <w:color w:val="000000"/>
              </w:rPr>
              <w:t>☐</w:t>
            </w:r>
            <w:r>
              <w:rPr/>
              <w:t xml:space="preserve"> </w:t>
            </w:r>
          </w:p>
        </w:tc>
        <w:tc>
          <w:tcPr>
            <w:tcW w:w="9849" w:type="dxa"/>
            <w:tcBorders/>
            <w:tcMar>
              <w:top w:w="0" w:type="dxa"/>
              <w:left w:w="0" w:type="dxa"/>
              <w:bottom w:w="0" w:type="dxa"/>
              <w:right w:w="0" w:type="dxa"/>
            </w:tcMar>
            <w:vAlign w:val="center"/>
          </w:tcPr>
          <w:p>
            <w:pPr>
              <w:pStyle w:val="TableContents"/>
              <w:bidi w:val="0"/>
              <w:spacing w:before="0" w:after="0"/>
              <w:jc w:val="left"/>
              <w:rPr>
                <w:color w:val="000000"/>
                <w:sz w:val="20"/>
              </w:rPr>
            </w:pPr>
            <w:r>
              <w:rPr>
                <w:color w:val="000000"/>
                <w:sz w:val="20"/>
              </w:rPr>
              <w:t xml:space="preserve">Well-Known Seasoned Issuer (as defined by Rule 405 under the Securities Act). </w:t>
            </w:r>
          </w:p>
        </w:tc>
      </w:tr>
      <w:tr>
        <w:trPr/>
        <w:tc>
          <w:tcPr>
            <w:tcW w:w="356" w:type="dxa"/>
            <w:tcBorders/>
            <w:tcMar>
              <w:top w:w="0" w:type="dxa"/>
              <w:left w:w="0" w:type="dxa"/>
              <w:bottom w:w="0" w:type="dxa"/>
              <w:right w:w="0" w:type="dxa"/>
            </w:tcMar>
            <w:vAlign w:val="center"/>
          </w:tcPr>
          <w:p>
            <w:pPr>
              <w:pStyle w:val="TableContents"/>
              <w:bidi w:val="0"/>
              <w:spacing w:before="0" w:after="0"/>
              <w:jc w:val="left"/>
              <w:rPr/>
            </w:pPr>
            <w:r>
              <w:rPr>
                <w:color w:val="000000"/>
              </w:rPr>
              <w:t>☒</w:t>
            </w:r>
            <w:r>
              <w:rPr/>
              <w:t xml:space="preserve"> </w:t>
            </w:r>
          </w:p>
        </w:tc>
        <w:tc>
          <w:tcPr>
            <w:tcW w:w="9849" w:type="dxa"/>
            <w:tcBorders/>
            <w:tcMar>
              <w:top w:w="0" w:type="dxa"/>
              <w:left w:w="0" w:type="dxa"/>
              <w:bottom w:w="0" w:type="dxa"/>
              <w:right w:w="0" w:type="dxa"/>
            </w:tcMar>
            <w:vAlign w:val="center"/>
          </w:tcPr>
          <w:p>
            <w:pPr>
              <w:pStyle w:val="TableContents"/>
              <w:bidi w:val="0"/>
              <w:spacing w:before="0" w:after="0"/>
              <w:jc w:val="left"/>
              <w:rPr>
                <w:color w:val="000000"/>
                <w:sz w:val="20"/>
              </w:rPr>
            </w:pPr>
            <w:r>
              <w:rPr>
                <w:color w:val="000000"/>
                <w:sz w:val="20"/>
              </w:rPr>
              <w:t xml:space="preserve">Emerging Growth Company (as defined by Rule 12b-2 under the Securities Exchange Act of 1934 (“Exchange Act”). </w:t>
            </w:r>
          </w:p>
        </w:tc>
      </w:tr>
      <w:tr>
        <w:trPr/>
        <w:tc>
          <w:tcPr>
            <w:tcW w:w="356" w:type="dxa"/>
            <w:tcBorders/>
            <w:tcMar>
              <w:top w:w="0" w:type="dxa"/>
              <w:left w:w="0" w:type="dxa"/>
              <w:bottom w:w="0" w:type="dxa"/>
              <w:right w:w="0" w:type="dxa"/>
            </w:tcMar>
            <w:vAlign w:val="center"/>
          </w:tcPr>
          <w:p>
            <w:pPr>
              <w:pStyle w:val="TableContents"/>
              <w:bidi w:val="0"/>
              <w:spacing w:before="0" w:after="0"/>
              <w:jc w:val="left"/>
              <w:rPr/>
            </w:pPr>
            <w:r>
              <w:rPr>
                <w:color w:val="000000"/>
              </w:rPr>
              <w:t>☐</w:t>
            </w:r>
            <w:r>
              <w:rPr/>
              <w:t xml:space="preserve"> </w:t>
            </w:r>
          </w:p>
        </w:tc>
        <w:tc>
          <w:tcPr>
            <w:tcW w:w="9849" w:type="dxa"/>
            <w:tcBorders/>
            <w:tcMar>
              <w:top w:w="0" w:type="dxa"/>
              <w:left w:w="0" w:type="dxa"/>
              <w:bottom w:w="0" w:type="dxa"/>
              <w:right w:w="0" w:type="dxa"/>
            </w:tcMar>
            <w:vAlign w:val="center"/>
          </w:tcPr>
          <w:p>
            <w:pPr>
              <w:pStyle w:val="TableContents"/>
              <w:bidi w:val="0"/>
              <w:spacing w:before="0" w:after="0"/>
              <w:jc w:val="left"/>
              <w:rPr>
                <w:color w:val="000000"/>
                <w:sz w:val="20"/>
              </w:rPr>
            </w:pPr>
            <w:r>
              <w:rPr>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Securities Act. </w:t>
            </w:r>
          </w:p>
        </w:tc>
      </w:tr>
      <w:tr>
        <w:trPr/>
        <w:tc>
          <w:tcPr>
            <w:tcW w:w="356" w:type="dxa"/>
            <w:tcBorders/>
            <w:tcMar>
              <w:top w:w="0" w:type="dxa"/>
              <w:left w:w="0" w:type="dxa"/>
              <w:bottom w:w="0" w:type="dxa"/>
              <w:right w:w="0" w:type="dxa"/>
            </w:tcMar>
            <w:vAlign w:val="center"/>
          </w:tcPr>
          <w:p>
            <w:pPr>
              <w:pStyle w:val="TableContents"/>
              <w:bidi w:val="0"/>
              <w:spacing w:before="0" w:after="0"/>
              <w:jc w:val="left"/>
              <w:rPr/>
            </w:pPr>
            <w:r>
              <w:rPr>
                <w:color w:val="000000"/>
              </w:rPr>
              <w:t>☐</w:t>
            </w:r>
            <w:r>
              <w:rPr/>
              <w:t xml:space="preserve"> </w:t>
            </w:r>
          </w:p>
        </w:tc>
        <w:tc>
          <w:tcPr>
            <w:tcW w:w="9849" w:type="dxa"/>
            <w:tcBorders/>
            <w:tcMar>
              <w:top w:w="0" w:type="dxa"/>
              <w:left w:w="0" w:type="dxa"/>
              <w:bottom w:w="0" w:type="dxa"/>
              <w:right w:w="0" w:type="dxa"/>
            </w:tcMar>
            <w:vAlign w:val="center"/>
          </w:tcPr>
          <w:p>
            <w:pPr>
              <w:pStyle w:val="TableContents"/>
              <w:bidi w:val="0"/>
              <w:spacing w:before="0" w:after="0"/>
              <w:jc w:val="left"/>
              <w:rPr>
                <w:color w:val="000000"/>
                <w:sz w:val="20"/>
              </w:rPr>
            </w:pPr>
            <w:r>
              <w:rPr>
                <w:color w:val="000000"/>
                <w:sz w:val="20"/>
              </w:rPr>
              <w:t xml:space="preserve">New Registrant (registered or regulated under the Investment Company Act for less than 12 calendar months preceding this filing). </w:t>
            </w:r>
          </w:p>
        </w:tc>
      </w:tr>
    </w:tbl>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b/>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w:t>
      </w:r>
    </w:p>
    <w:p>
      <w:pPr>
        <w:pStyle w:val="HorizontalLine"/>
        <w:bidi w:val="0"/>
        <w:spacing w:before="200" w:after="200"/>
        <w:jc w:val="left"/>
        <w:rPr/>
      </w:pPr>
      <w:r>
        <w:rPr/>
      </w:r>
    </w:p>
    <w:p>
      <w:pPr>
        <w:pStyle w:val="TextBody"/>
        <w:bidi w:val="0"/>
        <w:spacing w:before="0" w:after="0"/>
        <w:jc w:val="center"/>
        <w:rPr>
          <w:rFonts w:ascii="Times New Roman" w:hAnsi="Times New Roman"/>
          <w:sz w:val="20"/>
        </w:rPr>
      </w:pPr>
      <w:r>
        <w:rPr>
          <w:rFonts w:ascii="Times New Roman" w:hAnsi="Times New Roman"/>
          <w:b/>
          <w:sz w:val="20"/>
        </w:rPr>
        <w:t>EXPLANATORY NOTE</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purpose of this Pre-Effective Amendment No. 2 to the Registration Statement on Form N-2 (File No 333-295756) of Chicago Atlantic BDC, Inc. (the “Registration Statement”) is to update certain exhibits. Accordingly, this Pre-Effective Amendment No. 2 consists only of the facing page, this explanatory note and Part C of the Registration Statement setting forth the exhibits to the Registration Statement. This Pre-Effective Amendment No. 2 does not modify any other part of the Registration Statement. The prospectus and financial statements are unchanged, have been omitted, and are incorporated by reference.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w:t>
      </w:r>
    </w:p>
    <w:p>
      <w:pPr>
        <w:pStyle w:val="HorizontalLine"/>
        <w:bidi w:val="0"/>
        <w:spacing w:before="200" w:after="200"/>
        <w:jc w:val="left"/>
        <w:rPr/>
      </w:pPr>
      <w:r>
        <w:rPr/>
      </w:r>
    </w:p>
    <w:p>
      <w:pPr>
        <w:pStyle w:val="TextBody"/>
        <w:bidi w:val="0"/>
        <w:spacing w:before="0" w:after="0"/>
        <w:jc w:val="center"/>
        <w:rPr>
          <w:rFonts w:ascii="Times New Roman" w:hAnsi="Times New Roman"/>
          <w:sz w:val="20"/>
        </w:rPr>
      </w:pPr>
      <w:r>
        <w:rPr>
          <w:rFonts w:ascii="Times New Roman" w:hAnsi="Times New Roman"/>
          <w:b/>
          <w:sz w:val="20"/>
        </w:rPr>
        <w:t>Chicago Atlantic BDC, Inc.</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PART C</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Other Information</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ind w:left="0" w:right="0" w:hanging="1440"/>
        <w:jc w:val="left"/>
        <w:rPr>
          <w:rFonts w:ascii="Times New Roman" w:hAnsi="Times New Roman"/>
          <w:sz w:val="20"/>
        </w:rPr>
      </w:pPr>
      <w:r>
        <w:rPr>
          <w:rFonts w:ascii="Times New Roman" w:hAnsi="Times New Roman"/>
          <w:b/>
          <w:i/>
          <w:sz w:val="20"/>
        </w:rPr>
        <w:t>Financial Statements and Exhibits</w:t>
      </w:r>
      <w:r>
        <w:rPr>
          <w:rFonts w:ascii="Times New Roman" w:hAnsi="Times New Roman"/>
          <w:sz w:val="20"/>
        </w:rPr>
        <w:t xml:space="preserve">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9144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b/>
                                <w:sz w:val="20"/>
                              </w:rPr>
                              <w:t>Item 25.</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Item 25.</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i/>
          <w:sz w:val="20"/>
        </w:rPr>
        <w:t>Financial Statements</w:t>
      </w:r>
      <w:r>
        <w:rPr>
          <w:rFonts w:ascii="Times New Roman" w:hAnsi="Times New Roman"/>
          <w:sz w:val="20"/>
        </w:rPr>
        <w:t xml:space="preserve">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228600" cy="175260"/>
                <wp:effectExtent l="0" t="0" r="0" b="0"/>
                <wp:wrapSquare wrapText="right"/>
                <wp:docPr id="2" name="Frame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(1)</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(1)</w:t>
                      </w: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report of BDO USA P.C., our independent registered public accounting firm, dated March 19, 2026, the financial statements as of December 31, 2025 and 2024 and for each of the three years in the period ended December 31, 2025, and management’s assessment of the effectiveness of internal control over financial reporting (which is included in Management’s Report on Internal Control Over Financial Reporting) as of December 31, 2025, have been incorporated by reference in this registration statement in “Part A - Information Required in a Prospectus.” </w: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i/>
          <w:sz w:val="20"/>
        </w:rPr>
        <w:t>Exhibits</w:t>
      </w:r>
      <w:r>
        <w:rPr>
          <w:rFonts w:ascii="Times New Roman" w:hAnsi="Times New Roman"/>
          <w:sz w:val="20"/>
        </w:rPr>
        <w:t xml:space="preserve">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228600" cy="175260"/>
                <wp:effectExtent l="0" t="0" r="0" b="0"/>
                <wp:wrapSquare wrapText="right"/>
                <wp:docPr id="3" name="Frame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(2)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(2)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both"/>
        <w:rPr/>
      </w:pPr>
      <w:hyperlink r:id="rId2">
        <w:r>
          <w:rPr>
            <w:rStyle w:val="InternetLink"/>
            <w:rFonts w:ascii="Times New Roman" w:hAnsi="Times New Roman"/>
            <w:sz w:val="20"/>
          </w:rPr>
          <w:t>Articles of Amendment and Restatement (incorporated by reference to Exhibit 3.1 to the Registrant’s Annual Report on Form 10-K/A (File No. 814-01383) filed on June 30, 2022)</w:t>
        </w:r>
      </w:hyperlink>
      <w:r>
        <w:rPr>
          <w:rFonts w:ascii="Times New Roman" w:hAnsi="Times New Roman"/>
          <w:sz w:val="20"/>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right"/>
                <wp:docPr id="4"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a.1.</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a.1.</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pPr>
      <w:hyperlink r:id="rId3">
        <w:r>
          <w:rPr>
            <w:rStyle w:val="InternetLink"/>
            <w:rFonts w:ascii="Times New Roman" w:hAnsi="Times New Roman"/>
            <w:sz w:val="20"/>
          </w:rPr>
          <w:t>Articles of Amendment (incorporated by reference to Exhibit 3.2 to the Registrant’s Quarterly Report on Form 10-Q (File No. 814-01383) filed on November 8, 2024)</w:t>
        </w:r>
      </w:hyperlink>
      <w:r>
        <w:rPr>
          <w:rFonts w:ascii="Times New Roman" w:hAnsi="Times New Roman"/>
          <w:sz w:val="20"/>
        </w:rPr>
        <w:t xml:space="preser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75260"/>
                <wp:effectExtent l="0" t="0" r="0" b="0"/>
                <wp:wrapSquare wrapText="right"/>
                <wp:docPr id="5"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a.2.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a.2.</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pPr>
      <w:hyperlink r:id="rId4">
        <w:r>
          <w:rPr>
            <w:rStyle w:val="InternetLink"/>
            <w:rFonts w:ascii="Times New Roman" w:hAnsi="Times New Roman"/>
            <w:sz w:val="20"/>
          </w:rPr>
          <w:t>Second Amended and Restated Bylaws (incorporated by reference to Exhibit 3.3 to the Registrant’s Current Report on Form 8-K (File No. 814-01383) filed on December 19, 2025)</w:t>
        </w:r>
      </w:hyperlink>
      <w:r>
        <w:rPr>
          <w:rFonts w:ascii="Times New Roman" w:hAnsi="Times New Roman"/>
          <w:sz w:val="20"/>
        </w:rPr>
        <w:t xml:space="preserve">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75260"/>
                <wp:effectExtent l="0" t="0" r="0" b="0"/>
                <wp:wrapSquare wrapText="right"/>
                <wp:docPr id="6" name="Frame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b.</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b.</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sz w:val="20"/>
        </w:rPr>
        <w:t xml:space="preserve">Not Applicable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 cy="175260"/>
                <wp:effectExtent l="0" t="0" r="0" b="0"/>
                <wp:wrapSquare wrapText="right"/>
                <wp:docPr id="7" name="Frame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c.</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c.</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sz w:val="20"/>
        </w:rPr>
        <w:t xml:space="preserve">Form of Indenture**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57200" cy="175260"/>
                <wp:effectExtent l="0" t="0" r="0" b="0"/>
                <wp:wrapSquare wrapText="right"/>
                <wp:docPr id="8" name="Frame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d.1.</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d.1.</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sz w:val="20"/>
        </w:rPr>
        <w:t xml:space="preserve">Statement of Eligibility of Trustee on Form T-1**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457200" cy="175260"/>
                <wp:effectExtent l="0" t="0" r="0" b="0"/>
                <wp:wrapSquare wrapText="right"/>
                <wp:docPr id="9" name="Frame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d.2.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d.2.</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sz w:val="20"/>
        </w:rPr>
        <w:t xml:space="preserve">Not Applicable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457200" cy="175260"/>
                <wp:effectExtent l="0" t="0" r="0" b="0"/>
                <wp:wrapSquare wrapText="right"/>
                <wp:docPr id="10" name="Frame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e.</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e.</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sz w:val="20"/>
        </w:rPr>
        <w:t xml:space="preserve">Not Applicable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457200" cy="175260"/>
                <wp:effectExtent l="0" t="0" r="0" b="0"/>
                <wp:wrapSquare wrapText="right"/>
                <wp:docPr id="11" name="Frame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f.</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f.</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pPr>
      <w:hyperlink r:id="rId5">
        <w:r>
          <w:rPr>
            <w:rStyle w:val="InternetLink"/>
            <w:rFonts w:ascii="Times New Roman" w:hAnsi="Times New Roman"/>
            <w:sz w:val="20"/>
          </w:rPr>
          <w:t>Investment Advisory Agreement by and between the Registrant and the Adviser (incorporated by reference to Exhibit 10.1 to the Registrant’s Current Report on Form 8-K (File No. 814-01383) filed on October 7, 2024)</w:t>
        </w:r>
      </w:hyperlink>
      <w:r>
        <w:rPr>
          <w:rFonts w:ascii="Times New Roman" w:hAnsi="Times New Roman"/>
          <w:sz w:val="20"/>
        </w:rPr>
        <w:t xml:space="preserve">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457200" cy="175260"/>
                <wp:effectExtent l="0" t="0" r="0" b="0"/>
                <wp:wrapSquare wrapText="right"/>
                <wp:docPr id="12" name="Frame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g.</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g.</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sz w:val="20"/>
        </w:rPr>
        <w:t xml:space="preserve">Form of Underwriting Agreement for Equity Securities**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457200" cy="175260"/>
                <wp:effectExtent l="0" t="0" r="0" b="0"/>
                <wp:wrapSquare wrapText="right"/>
                <wp:docPr id="13" name="Frame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h.1.</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h.1.</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sz w:val="20"/>
        </w:rPr>
        <w:t xml:space="preserve">Form of Underwriting Agreement for Debt Securities** </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457200" cy="175260"/>
                <wp:effectExtent l="0" t="0" r="0" b="0"/>
                <wp:wrapSquare wrapText="right"/>
                <wp:docPr id="14" name="Frame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h.2.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h.2.</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sz w:val="20"/>
        </w:rPr>
        <w:t xml:space="preserve">Not Applicable </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457200" cy="175260"/>
                <wp:effectExtent l="0" t="0" r="0" b="0"/>
                <wp:wrapSquare wrapText="right"/>
                <wp:docPr id="15" name="Frame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i.</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i.</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pPr>
      <w:hyperlink r:id="rId6">
        <w:r>
          <w:rPr>
            <w:rStyle w:val="InternetLink"/>
            <w:rFonts w:ascii="Times New Roman" w:hAnsi="Times New Roman"/>
            <w:sz w:val="20"/>
          </w:rPr>
          <w:t>Custody Agreement, by and between the Registrant and Western Alliance Trust Company, N.A., as custodian (incorporated by reference to Exhibit 10.2 to the Registrant’s Current Report on Form 8-K (File No. 814-01383) filed on February 18, 2025)</w:t>
        </w:r>
      </w:hyperlink>
      <w:r>
        <w:rPr>
          <w:rFonts w:ascii="Times New Roman" w:hAnsi="Times New Roman"/>
          <w:sz w:val="20"/>
        </w:rPr>
        <w:t xml:space="preserve">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457200" cy="175260"/>
                <wp:effectExtent l="0" t="0" r="0" b="0"/>
                <wp:wrapSquare wrapText="right"/>
                <wp:docPr id="16" name="Frame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j.1.</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j.1.</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pPr>
      <w:hyperlink r:id="rId7">
        <w:r>
          <w:rPr>
            <w:rStyle w:val="InternetLink"/>
            <w:rFonts w:ascii="Times New Roman" w:hAnsi="Times New Roman"/>
            <w:sz w:val="20"/>
          </w:rPr>
          <w:t>Custody Agreement, by and between the Registrant and Western Alliance Bank, as custodian (incorporated by reference to Exhibit 10.3 to the Registrant’s Current Report on Form 8-K (File No. 814-01383) filed on February 18, 2025)</w:t>
        </w:r>
      </w:hyperlink>
      <w:r>
        <w:rPr>
          <w:rFonts w:ascii="Times New Roman" w:hAnsi="Times New Roman"/>
          <w:sz w:val="20"/>
        </w:rPr>
        <w:t xml:space="preserve"> </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457200" cy="175260"/>
                <wp:effectExtent l="0" t="0" r="0" b="0"/>
                <wp:wrapSquare wrapText="right"/>
                <wp:docPr id="17" name="Frame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j.2.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j.2.</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pPr>
      <w:hyperlink r:id="rId8">
        <w:r>
          <w:rPr>
            <w:rStyle w:val="InternetLink"/>
            <w:rFonts w:ascii="Times New Roman" w:hAnsi="Times New Roman"/>
            <w:sz w:val="20"/>
          </w:rPr>
          <w:t>Administration Agreement by and between the Registrant and the Adviser (incorporated by reference to Exhibit 10.4 to the Registrant’s Annual Report on Form 10-K/A (File No. 814-01383) filed on June 30, 2022)</w:t>
        </w:r>
      </w:hyperlink>
      <w:r>
        <w:rPr>
          <w:rFonts w:ascii="Times New Roman" w:hAnsi="Times New Roman"/>
          <w:sz w:val="20"/>
        </w:rPr>
        <w:t xml:space="preserve"> </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457200" cy="175260"/>
                <wp:effectExtent l="0" t="0" r="0" b="0"/>
                <wp:wrapSquare wrapText="right"/>
                <wp:docPr id="18" name="Frame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k.1.</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k.1.</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w:t>
      </w:r>
    </w:p>
    <w:p>
      <w:pPr>
        <w:pStyle w:val="HorizontalLine"/>
        <w:bidi w:val="0"/>
        <w:spacing w:before="200" w:after="200"/>
        <w:jc w:val="left"/>
        <w:rPr/>
      </w:pPr>
      <w:r>
        <w:rPr/>
      </w:r>
    </w:p>
    <w:p>
      <w:pPr>
        <w:pStyle w:val="TextBody"/>
        <w:bidi w:val="0"/>
        <w:spacing w:before="0" w:after="0"/>
        <w:ind w:left="0" w:right="0" w:hanging="720"/>
        <w:jc w:val="both"/>
        <w:rPr/>
      </w:pPr>
      <w:hyperlink r:id="rId9">
        <w:r>
          <w:rPr>
            <w:rStyle w:val="InternetLink"/>
            <w:rFonts w:ascii="Times New Roman" w:hAnsi="Times New Roman"/>
            <w:sz w:val="20"/>
          </w:rPr>
          <w:t>License Agreement by and between the Registrant and the Adviser (incorporated by reference to Exhibit 10.2 to the Registrant’s Current Report on Form 8-K (File No. 814-01383) filed on October 7, 2024)</w:t>
        </w:r>
      </w:hyperlink>
      <w:r>
        <w:rPr>
          <w:rFonts w:ascii="Times New Roman" w:hAnsi="Times New Roman"/>
          <w:sz w:val="20"/>
        </w:rPr>
        <w:t xml:space="preserve"> </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457200" cy="175260"/>
                <wp:effectExtent l="0" t="0" r="0" b="0"/>
                <wp:wrapSquare wrapText="right"/>
                <wp:docPr id="19" name="Frame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k.2.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k.2.</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pPr>
      <w:hyperlink r:id="rId10">
        <w:r>
          <w:rPr>
            <w:rStyle w:val="InternetLink"/>
            <w:rFonts w:ascii="Times New Roman" w:hAnsi="Times New Roman"/>
            <w:sz w:val="20"/>
          </w:rPr>
          <w:t>Services Agreement by and among SS&amp;C Technologies, Inc., ALPS Fund Services, Inc., the Adviser, and the Registrant (incorporated by reference to Exhibit 10.6 to the Registrant’s Annual Report on Form 10-K/A (File No. 814-01383) filed on June 30, 2022)</w:t>
        </w:r>
      </w:hyperlink>
      <w:r>
        <w:rPr>
          <w:rFonts w:ascii="Times New Roman" w:hAnsi="Times New Roman"/>
          <w:sz w:val="20"/>
        </w:rPr>
        <w:t xml:space="preserve"> </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457200" cy="175260"/>
                <wp:effectExtent l="0" t="0" r="0" b="0"/>
                <wp:wrapSquare wrapText="right"/>
                <wp:docPr id="20" name="Frame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k.3.</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k.3.</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pPr>
      <w:hyperlink r:id="rId11">
        <w:r>
          <w:rPr>
            <w:rStyle w:val="InternetLink"/>
            <w:rFonts w:ascii="Times New Roman" w:hAnsi="Times New Roman"/>
            <w:sz w:val="20"/>
          </w:rPr>
          <w:t>Senior Secured Revolving Credit Agreement, dated as of February 11, 2025, among the Company, as borrower, the lenders and the issuing banks party thereto from time to time, and Western Alliance Trust Company, N.A., as administrative agent (incorporated by reference to Exhibit 10.1 to the Registrant’s Current Report on Form 8-K (File No. 814-01383) filed on February 18, 2025)</w:t>
        </w:r>
      </w:hyperlink>
      <w:r>
        <w:rPr>
          <w:rFonts w:ascii="Times New Roman" w:hAnsi="Times New Roman"/>
          <w:sz w:val="20"/>
        </w:rPr>
        <w:t xml:space="preserve"> </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457200" cy="175260"/>
                <wp:effectExtent l="0" t="0" r="0" b="0"/>
                <wp:wrapSquare wrapText="right"/>
                <wp:docPr id="21" name="Frame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k.4.</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k.4.</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pPr>
      <w:hyperlink w:anchor="ef20082867_exl.htm">
        <w:r>
          <w:rPr>
            <w:rStyle w:val="InternetLink"/>
            <w:rFonts w:ascii="Times New Roman" w:hAnsi="Times New Roman"/>
            <w:sz w:val="20"/>
          </w:rPr>
          <w:t>Opinion and Consent of Baker, Donelson, Bearman, Caldwell &amp; Berkowitz, PC*</w:t>
        </w:r>
      </w:hyperlink>
      <w:r>
        <w:rPr>
          <w:rFonts w:ascii="Times New Roman" w:hAnsi="Times New Roman"/>
          <w:sz w:val="20"/>
        </w:rPr>
        <w:t xml:space="preserve"> </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457200" cy="175260"/>
                <wp:effectExtent l="0" t="0" r="0" b="0"/>
                <wp:wrapSquare wrapText="right"/>
                <wp:docPr id="22" name="Frame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l.</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l.</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sz w:val="20"/>
        </w:rPr>
        <w:t xml:space="preserve">Not Applicable </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457200" cy="175260"/>
                <wp:effectExtent l="0" t="0" r="0" b="0"/>
                <wp:wrapSquare wrapText="right"/>
                <wp:docPr id="23" name="Frame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m.</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m.</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pPr>
      <w:hyperlink w:anchor="ef20082867_exn-1.htm">
        <w:r>
          <w:rPr>
            <w:rStyle w:val="InternetLink"/>
            <w:rFonts w:ascii="Times New Roman" w:hAnsi="Times New Roman"/>
            <w:sz w:val="20"/>
          </w:rPr>
          <w:t>Consent of BDO USA, P.C.*</w:t>
        </w:r>
      </w:hyperlink>
      <w:r>
        <w:rPr>
          <w:rFonts w:ascii="Times New Roman" w:hAnsi="Times New Roman"/>
          <w:sz w:val="20"/>
        </w:rPr>
        <w:t xml:space="preserve"> </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457200" cy="175260"/>
                <wp:effectExtent l="0" t="0" r="0" b="0"/>
                <wp:wrapSquare wrapText="right"/>
                <wp:docPr id="24" name="Frame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n.1.</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n.1.</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pPr>
      <w:hyperlink r:id="rId12">
        <w:r>
          <w:rPr>
            <w:rStyle w:val="InternetLink"/>
            <w:rFonts w:ascii="Times New Roman" w:hAnsi="Times New Roman"/>
            <w:sz w:val="20"/>
          </w:rPr>
          <w:t>Powers of Attorney (incorporated by reference to Exhibit (n.2) to the Registrant’s Registration Statement on Form N-2 (File No. 333-295756) filed on May 11, 2026)</w:t>
        </w:r>
      </w:hyperlink>
      <w:r>
        <w:rPr>
          <w:rFonts w:ascii="Times New Roman" w:hAnsi="Times New Roman"/>
          <w:sz w:val="20"/>
        </w:rPr>
        <w:t xml:space="preserve"> </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457200" cy="175260"/>
                <wp:effectExtent l="0" t="0" r="0" b="0"/>
                <wp:wrapSquare wrapText="right"/>
                <wp:docPr id="25" name="Frame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n.2.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n.2.</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sz w:val="20"/>
        </w:rPr>
        <w:t xml:space="preserve">Not Applicable </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457200" cy="175260"/>
                <wp:effectExtent l="0" t="0" r="0" b="0"/>
                <wp:wrapSquare wrapText="right"/>
                <wp:docPr id="26" name="Frame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o.</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o.</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sz w:val="20"/>
        </w:rPr>
        <w:t xml:space="preserve">Not Applicable </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457200" cy="175260"/>
                <wp:effectExtent l="0" t="0" r="0" b="0"/>
                <wp:wrapSquare wrapText="right"/>
                <wp:docPr id="27" name="Frame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p.</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p.</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sz w:val="20"/>
        </w:rPr>
        <w:t xml:space="preserve">Not Applicable </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457200" cy="175260"/>
                <wp:effectExtent l="0" t="0" r="0" b="0"/>
                <wp:wrapSquare wrapText="right"/>
                <wp:docPr id="28" name="Frame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q.</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q.</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pPr>
      <w:hyperlink r:id="rId13">
        <w:r>
          <w:rPr>
            <w:rStyle w:val="InternetLink"/>
            <w:rFonts w:ascii="Times New Roman" w:hAnsi="Times New Roman"/>
            <w:sz w:val="20"/>
          </w:rPr>
          <w:t>Code of Ethics of the Registrant (incorporated by reference to Exhibit 14.1 to the Registrant’s Annual Report on Form 10-K (File No. 814-01383) filed on March 19, 2026)</w:t>
        </w:r>
      </w:hyperlink>
      <w:r>
        <w:rPr>
          <w:rFonts w:ascii="Times New Roman" w:hAnsi="Times New Roman"/>
          <w:sz w:val="20"/>
        </w:rPr>
        <w:t xml:space="preserve"> </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457200" cy="175260"/>
                <wp:effectExtent l="0" t="0" r="0" b="0"/>
                <wp:wrapSquare wrapText="right"/>
                <wp:docPr id="29" name="Frame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r.1.</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r.1.</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pPr>
      <w:hyperlink r:id="rId14">
        <w:r>
          <w:rPr>
            <w:rStyle w:val="InternetLink"/>
            <w:rFonts w:ascii="Times New Roman" w:hAnsi="Times New Roman"/>
            <w:sz w:val="20"/>
          </w:rPr>
          <w:t>Code of Ethics of the Adviser (incorporated by reference to Exhibit 14.1 to the Registrant’s Annual Report on Form 10-K (File No. 814-01383) filed on March 19, 2026)</w:t>
        </w:r>
      </w:hyperlink>
      <w:r>
        <w:rPr>
          <w:rFonts w:ascii="Times New Roman" w:hAnsi="Times New Roman"/>
          <w:sz w:val="20"/>
        </w:rPr>
        <w:t xml:space="preserve"> </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457200" cy="175260"/>
                <wp:effectExtent l="0" t="0" r="0" b="0"/>
                <wp:wrapSquare wrapText="right"/>
                <wp:docPr id="30" name="Frame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r.2.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r.2.</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pPr>
      <w:hyperlink r:id="rId15">
        <w:r>
          <w:rPr>
            <w:rStyle w:val="InternetLink"/>
            <w:rFonts w:ascii="Times New Roman" w:hAnsi="Times New Roman"/>
            <w:sz w:val="20"/>
          </w:rPr>
          <w:t>Calculation of Filing Fee Table (incorporated by reference to Exhibit (s) to the Registrant’s Registration Statement on Form N-2 (File No. 333-295756) filed on May 11, 2026)</w:t>
        </w:r>
      </w:hyperlink>
      <w:r>
        <w:rPr>
          <w:rFonts w:ascii="Times New Roman" w:hAnsi="Times New Roman"/>
          <w:sz w:val="20"/>
        </w:rPr>
        <w:t xml:space="preserve"> </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457200" cy="175260"/>
                <wp:effectExtent l="0" t="0" r="0" b="0"/>
                <wp:wrapSquare wrapText="right"/>
                <wp:docPr id="31" name="Frame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s.</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s.</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sz w:val="20"/>
        </w:rPr>
        <w:t xml:space="preserve">Filed herewith. </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457200" cy="175260"/>
                <wp:effectExtent l="0" t="0" r="0" b="0"/>
                <wp:wrapSquare wrapText="right"/>
                <wp:docPr id="32" name="Frame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sz w:val="20"/>
        </w:rPr>
        <w:t xml:space="preserve">To be filed either by amendment or as an exhibit to a report filed under the Securities Exchange Act of 1934 and incorporated herein by reference. </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457200" cy="175260"/>
                <wp:effectExtent l="0" t="0" r="0" b="0"/>
                <wp:wrapSquare wrapText="right"/>
                <wp:docPr id="33" name="Frame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1440"/>
        <w:jc w:val="both"/>
        <w:rPr>
          <w:rFonts w:ascii="Times New Roman" w:hAnsi="Times New Roman"/>
          <w:sz w:val="20"/>
        </w:rPr>
      </w:pPr>
      <w:r>
        <w:rPr>
          <w:rFonts w:ascii="Times New Roman" w:hAnsi="Times New Roman"/>
          <w:b/>
          <w:i/>
          <w:sz w:val="20"/>
        </w:rPr>
        <w:t>Marketing Arrangements</w:t>
      </w:r>
      <w:r>
        <w:rPr>
          <w:rFonts w:ascii="Times New Roman" w:hAnsi="Times New Roman"/>
          <w:sz w:val="20"/>
        </w:rPr>
        <w:t xml:space="preserve"> </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914400" cy="175260"/>
                <wp:effectExtent l="0" t="0" r="0" b="0"/>
                <wp:wrapSquare wrapText="right"/>
                <wp:docPr id="34" name="Frame34"/>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b/>
                                <w:sz w:val="20"/>
                              </w:rPr>
                              <w:t>Item 26.</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Item 26.</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The information contained under the heading “</w:t>
      </w:r>
      <w:r>
        <w:rPr>
          <w:rFonts w:ascii="Times New Roman" w:hAnsi="Times New Roman"/>
          <w:i/>
          <w:sz w:val="20"/>
        </w:rPr>
        <w:t>Plan of Distribution</w:t>
      </w:r>
      <w:r>
        <w:rPr>
          <w:rFonts w:ascii="Times New Roman" w:hAnsi="Times New Roman"/>
          <w:sz w:val="20"/>
        </w:rPr>
        <w:t xml:space="preserve">” in this Registration Statement is incorporated herein by reference. </w:t>
      </w:r>
    </w:p>
    <w:p>
      <w:pPr>
        <w:pStyle w:val="TextBody"/>
        <w:bidi w:val="0"/>
        <w:spacing w:before="0" w:after="0"/>
        <w:jc w:val="both"/>
        <w:rPr/>
      </w:pPr>
      <w:r>
        <w:rPr/>
        <w:t xml:space="preserve">  </w:t>
      </w:r>
    </w:p>
    <w:p>
      <w:pPr>
        <w:pStyle w:val="TextBody"/>
        <w:bidi w:val="0"/>
        <w:spacing w:before="0" w:after="0"/>
        <w:ind w:left="0" w:right="0" w:hanging="1440"/>
        <w:jc w:val="left"/>
        <w:rPr>
          <w:rFonts w:ascii="Times New Roman" w:hAnsi="Times New Roman"/>
          <w:sz w:val="20"/>
        </w:rPr>
      </w:pPr>
      <w:r>
        <w:rPr>
          <w:rFonts w:ascii="Times New Roman" w:hAnsi="Times New Roman"/>
          <w:b/>
          <w:i/>
          <w:sz w:val="20"/>
        </w:rPr>
        <w:t>Other Expenses of Issuance and Distribution</w:t>
      </w:r>
      <w:r>
        <w:rPr>
          <w:rFonts w:ascii="Times New Roman" w:hAnsi="Times New Roman"/>
          <w:sz w:val="20"/>
        </w:rPr>
        <w:t xml:space="preserve"> </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914400" cy="175260"/>
                <wp:effectExtent l="0" t="0" r="0" b="0"/>
                <wp:wrapSquare wrapText="right"/>
                <wp:docPr id="35" name="Frame35"/>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b/>
                                <w:sz w:val="20"/>
                              </w:rPr>
                              <w:t>Item 27.</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Item 27.</w:t>
                      </w: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tbl>
      <w:tblPr>
        <w:tblW w:w="6750" w:type="dxa"/>
        <w:jc w:val="left"/>
        <w:tblInd w:w="0" w:type="dxa"/>
        <w:tblLayout w:type="fixed"/>
        <w:tblCellMar>
          <w:top w:w="0" w:type="dxa"/>
          <w:left w:w="0" w:type="dxa"/>
          <w:bottom w:w="0" w:type="dxa"/>
          <w:right w:w="0" w:type="dxa"/>
        </w:tblCellMar>
      </w:tblPr>
      <w:tblGrid>
        <w:gridCol w:w="5645"/>
        <w:gridCol w:w="90"/>
        <w:gridCol w:w="170"/>
        <w:gridCol w:w="710"/>
        <w:gridCol w:w="135"/>
      </w:tblGrid>
      <w:tr>
        <w:trPr/>
        <w:tc>
          <w:tcPr>
            <w:tcW w:w="56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0"/>
              <w:ind w:left="0" w:right="0" w:hanging="187"/>
              <w:jc w:val="left"/>
              <w:rPr/>
            </w:pPr>
            <w:r>
              <w:rPr/>
              <w:t xml:space="preserve">U.S. Securities and Exchange Commission registration fee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69,050</w:t>
            </w:r>
          </w:p>
        </w:tc>
        <w:tc>
          <w:tcPr>
            <w:tcW w:w="135" w:type="dxa"/>
            <w:tcBorders/>
            <w:shd w:fill="CCEEFF" w:val="clear"/>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0"/>
              <w:ind w:left="0" w:right="0" w:hanging="187"/>
              <w:jc w:val="left"/>
              <w:rPr/>
            </w:pPr>
            <w:r>
              <w:rPr/>
              <w:t>FINRA filing fee</w:t>
            </w:r>
            <w:r>
              <w:rPr>
                <w:position w:val="8"/>
                <w:sz w:val="19"/>
              </w:rPr>
              <w:t>(1)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 xml:space="preserve">— </w:t>
            </w:r>
          </w:p>
        </w:tc>
        <w:tc>
          <w:tcPr>
            <w:tcW w:w="135" w:type="dxa"/>
            <w:tcBorders/>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0"/>
              <w:ind w:left="0" w:right="0" w:hanging="187"/>
              <w:jc w:val="left"/>
              <w:rPr/>
            </w:pPr>
            <w:r>
              <w:rPr/>
              <w:t>NASDAQ listing fee</w:t>
            </w:r>
            <w:r>
              <w:rPr>
                <w:position w:val="8"/>
                <w:sz w:val="19"/>
              </w:rPr>
              <w:t>(1)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 xml:space="preserve">— </w:t>
            </w:r>
          </w:p>
        </w:tc>
        <w:tc>
          <w:tcPr>
            <w:tcW w:w="135" w:type="dxa"/>
            <w:tcBorders/>
            <w:shd w:fill="CCEEFF" w:val="clear"/>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0"/>
              <w:ind w:left="0" w:right="0" w:hanging="187"/>
              <w:jc w:val="left"/>
              <w:rPr/>
            </w:pPr>
            <w:r>
              <w:rPr/>
              <w:t>Printing expenses</w:t>
            </w:r>
            <w:r>
              <w:rPr>
                <w:position w:val="8"/>
                <w:sz w:val="19"/>
              </w:rPr>
              <w:t>(1)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 xml:space="preserve">— </w:t>
            </w:r>
          </w:p>
        </w:tc>
        <w:tc>
          <w:tcPr>
            <w:tcW w:w="135" w:type="dxa"/>
            <w:tcBorders/>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0"/>
              <w:ind w:left="0" w:right="0" w:hanging="187"/>
              <w:jc w:val="left"/>
              <w:rPr/>
            </w:pPr>
            <w:r>
              <w:rPr/>
              <w:t>Legal fees and expenses</w:t>
            </w:r>
            <w:r>
              <w:rPr>
                <w:position w:val="8"/>
                <w:sz w:val="19"/>
              </w:rPr>
              <w:t>(1)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 xml:space="preserve">— </w:t>
            </w:r>
          </w:p>
        </w:tc>
        <w:tc>
          <w:tcPr>
            <w:tcW w:w="135" w:type="dxa"/>
            <w:tcBorders/>
            <w:shd w:fill="CCEEFF" w:val="clear"/>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0"/>
              <w:ind w:left="0" w:right="0" w:hanging="187"/>
              <w:jc w:val="left"/>
              <w:rPr/>
            </w:pPr>
            <w:r>
              <w:rPr/>
              <w:t>Accounting fees and expenses</w:t>
            </w:r>
            <w:r>
              <w:rPr>
                <w:position w:val="8"/>
                <w:sz w:val="19"/>
              </w:rPr>
              <w:t>(1)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 xml:space="preserve">— </w:t>
            </w:r>
          </w:p>
        </w:tc>
        <w:tc>
          <w:tcPr>
            <w:tcW w:w="135" w:type="dxa"/>
            <w:tcBorders/>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0"/>
              <w:ind w:left="0" w:right="0" w:hanging="187"/>
              <w:jc w:val="left"/>
              <w:rPr/>
            </w:pPr>
            <w:r>
              <w:rPr/>
              <w:t>Miscellaneous fees and expenses</w:t>
            </w:r>
            <w:r>
              <w:rPr>
                <w:position w:val="8"/>
                <w:sz w:val="19"/>
              </w:rPr>
              <w:t>(1)</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0"/>
              <w:ind w:left="0" w:right="0" w:hanging="187"/>
              <w:jc w:val="left"/>
              <w:rPr/>
            </w:pPr>
            <w:r>
              <w:rPr>
                <w:b/>
              </w:rPr>
              <w:t>Total</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 xml:space="preserve">— </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hanging="720"/>
        <w:jc w:val="both"/>
        <w:rPr>
          <w:rFonts w:ascii="Times New Roman" w:hAnsi="Times New Roman"/>
          <w:sz w:val="20"/>
        </w:rPr>
      </w:pPr>
      <w:r>
        <w:rPr>
          <w:rFonts w:ascii="Times New Roman" w:hAnsi="Times New Roman"/>
          <w:sz w:val="20"/>
        </w:rPr>
        <w:t xml:space="preserve">These fees will be calculated based on the securities offered and the number of issuances and accordingly, cannot be estimated at this time. These fees, if any, will be reflected in the applicable prospectus supplement. </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457200" cy="175260"/>
                <wp:effectExtent l="0" t="0" r="0" b="0"/>
                <wp:wrapSquare wrapText="right"/>
                <wp:docPr id="36" name="Frame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(1)</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(1)</w:t>
                      </w:r>
                      <w:r>
                        <w:rPr/>
                        <w:t xml:space="preserve"> </w:t>
                      </w:r>
                    </w:p>
                  </w:txbxContent>
                </v:textbox>
                <w10:wrap type="square" side="right"/>
              </v:rect>
            </w:pict>
          </mc:Fallback>
        </mc:AlternateContent>
      </w:r>
    </w:p>
    <w:p>
      <w:pPr>
        <w:pStyle w:val="TextBody"/>
        <w:bidi w:val="0"/>
        <w:spacing w:before="0" w:after="0"/>
        <w:ind w:left="840" w:right="0" w:hanging="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w:t>
      </w:r>
    </w:p>
    <w:p>
      <w:pPr>
        <w:pStyle w:val="HorizontalLine"/>
        <w:bidi w:val="0"/>
        <w:spacing w:before="200" w:after="200"/>
        <w:jc w:val="left"/>
        <w:rPr/>
      </w:pPr>
      <w:r>
        <w:rPr/>
      </w:r>
    </w:p>
    <w:p>
      <w:pPr>
        <w:pStyle w:val="TextBody"/>
        <w:bidi w:val="0"/>
        <w:spacing w:before="0" w:after="0"/>
        <w:ind w:left="0" w:right="0" w:hanging="1440"/>
        <w:jc w:val="left"/>
        <w:rPr>
          <w:rFonts w:ascii="Times New Roman" w:hAnsi="Times New Roman"/>
          <w:sz w:val="20"/>
        </w:rPr>
      </w:pPr>
      <w:r>
        <w:rPr>
          <w:rFonts w:ascii="Times New Roman" w:hAnsi="Times New Roman"/>
          <w:b/>
          <w:i/>
          <w:sz w:val="20"/>
        </w:rPr>
        <w:t>Persons Controlled by or Under Common Control</w:t>
      </w:r>
      <w:r>
        <w:rPr>
          <w:rFonts w:ascii="Times New Roman" w:hAnsi="Times New Roman"/>
          <w:sz w:val="20"/>
        </w:rPr>
        <w:t xml:space="preserve"> </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914400" cy="175260"/>
                <wp:effectExtent l="0" t="0" r="0" b="0"/>
                <wp:wrapSquare wrapText="right"/>
                <wp:docPr id="37" name="Frame37"/>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b/>
                                <w:sz w:val="20"/>
                              </w:rPr>
                              <w:t>Item 28.</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Item 28.</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The information incorporated by reference under the headings “</w:t>
      </w:r>
      <w:r>
        <w:rPr>
          <w:rFonts w:ascii="Times New Roman" w:hAnsi="Times New Roman"/>
          <w:i/>
          <w:sz w:val="20"/>
        </w:rPr>
        <w:t>The Company</w:t>
      </w:r>
      <w:r>
        <w:rPr>
          <w:rFonts w:ascii="Times New Roman" w:hAnsi="Times New Roman"/>
          <w:sz w:val="20"/>
        </w:rPr>
        <w:t>,” “</w:t>
      </w:r>
      <w:r>
        <w:rPr>
          <w:rFonts w:ascii="Times New Roman" w:hAnsi="Times New Roman"/>
          <w:i/>
          <w:sz w:val="20"/>
        </w:rPr>
        <w:t>Management</w:t>
      </w:r>
      <w:r>
        <w:rPr>
          <w:rFonts w:ascii="Times New Roman" w:hAnsi="Times New Roman"/>
          <w:sz w:val="20"/>
        </w:rPr>
        <w:t>,” “</w:t>
      </w:r>
      <w:r>
        <w:rPr>
          <w:rFonts w:ascii="Times New Roman" w:hAnsi="Times New Roman"/>
          <w:i/>
          <w:sz w:val="20"/>
        </w:rPr>
        <w:t>Certain Relationships and Related Party Transactions</w:t>
      </w:r>
      <w:r>
        <w:rPr>
          <w:rFonts w:ascii="Times New Roman" w:hAnsi="Times New Roman"/>
          <w:sz w:val="20"/>
        </w:rPr>
        <w:t>” and “</w:t>
      </w:r>
      <w:r>
        <w:rPr>
          <w:rFonts w:ascii="Times New Roman" w:hAnsi="Times New Roman"/>
          <w:i/>
          <w:sz w:val="20"/>
        </w:rPr>
        <w:t>Control Persons and Principal Shareholders</w:t>
      </w:r>
      <w:r>
        <w:rPr>
          <w:rFonts w:ascii="Times New Roman" w:hAnsi="Times New Roman"/>
          <w:sz w:val="20"/>
        </w:rPr>
        <w:t xml:space="preserve">” in this Registration Statement is incorporated herein by reference. </w:t>
      </w:r>
    </w:p>
    <w:p>
      <w:pPr>
        <w:pStyle w:val="TextBody"/>
        <w:bidi w:val="0"/>
        <w:spacing w:before="0" w:after="0"/>
        <w:jc w:val="both"/>
        <w:rPr/>
      </w:pPr>
      <w:r>
        <w:rPr/>
        <w:t xml:space="preserve">  </w:t>
      </w:r>
    </w:p>
    <w:p>
      <w:pPr>
        <w:pStyle w:val="TextBody"/>
        <w:bidi w:val="0"/>
        <w:spacing w:before="0" w:after="0"/>
        <w:ind w:left="0" w:right="0" w:hanging="1440"/>
        <w:jc w:val="left"/>
        <w:rPr>
          <w:rFonts w:ascii="Times New Roman" w:hAnsi="Times New Roman"/>
          <w:sz w:val="20"/>
        </w:rPr>
      </w:pPr>
      <w:r>
        <w:rPr>
          <w:rFonts w:ascii="Times New Roman" w:hAnsi="Times New Roman"/>
          <w:b/>
          <w:i/>
          <w:sz w:val="20"/>
        </w:rPr>
        <w:t>Number of Holders of Securities</w:t>
      </w:r>
      <w:r>
        <w:rPr>
          <w:rFonts w:ascii="Times New Roman" w:hAnsi="Times New Roman"/>
          <w:sz w:val="20"/>
        </w:rPr>
        <w:t xml:space="preserve"> </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914400" cy="175260"/>
                <wp:effectExtent l="0" t="0" r="0" b="0"/>
                <wp:wrapSquare wrapText="right"/>
                <wp:docPr id="38" name="Frame38"/>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b/>
                                <w:sz w:val="20"/>
                              </w:rPr>
                              <w:t>Item 29.</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Item 29.</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The following table sets forth the approximate number of record holders of each class of our securities as of September 25, 2026. </w:t>
      </w:r>
    </w:p>
    <w:p>
      <w:pPr>
        <w:pStyle w:val="TextBody"/>
        <w:bidi w:val="0"/>
        <w:spacing w:before="0" w:after="0"/>
        <w:jc w:val="left"/>
        <w:rPr/>
      </w:pPr>
      <w:r>
        <w:rPr/>
        <w:t xml:space="preserve">  </w:t>
      </w:r>
    </w:p>
    <w:tbl>
      <w:tblPr>
        <w:tblW w:w="4592" w:type="dxa"/>
        <w:jc w:val="left"/>
        <w:tblInd w:w="0" w:type="dxa"/>
        <w:tblLayout w:type="fixed"/>
        <w:tblCellMar>
          <w:top w:w="28" w:type="dxa"/>
          <w:left w:w="28" w:type="dxa"/>
          <w:bottom w:w="28" w:type="dxa"/>
          <w:right w:w="28" w:type="dxa"/>
        </w:tblCellMar>
      </w:tblPr>
      <w:tblGrid>
        <w:gridCol w:w="1666"/>
        <w:gridCol w:w="2926"/>
      </w:tblGrid>
      <w:tr>
        <w:trPr/>
        <w:tc>
          <w:tcPr>
            <w:tcW w:w="1666" w:type="dxa"/>
            <w:tcBorders/>
            <w:vAlign w:val="center"/>
          </w:tcPr>
          <w:p>
            <w:pPr>
              <w:pStyle w:val="TableContents"/>
              <w:bidi w:val="0"/>
              <w:spacing w:before="0" w:after="283"/>
              <w:jc w:val="left"/>
              <w:rPr/>
            </w:pPr>
            <w:r>
              <w:rPr/>
              <w:t> </w:t>
            </w:r>
          </w:p>
        </w:tc>
        <w:tc>
          <w:tcPr>
            <w:tcW w:w="2926" w:type="dxa"/>
            <w:tcBorders/>
            <w:vAlign w:val="center"/>
          </w:tcPr>
          <w:p>
            <w:pPr>
              <w:pStyle w:val="TableContents"/>
              <w:bidi w:val="0"/>
              <w:spacing w:before="0" w:after="283"/>
              <w:jc w:val="left"/>
              <w:rPr/>
            </w:pPr>
            <w:r>
              <w:rPr/>
              <w:t> </w:t>
            </w:r>
          </w:p>
        </w:tc>
      </w:tr>
      <w:tr>
        <w:trPr/>
        <w:tc>
          <w:tcPr>
            <w:tcW w:w="1666" w:type="dxa"/>
            <w:tcBorders/>
            <w:vAlign w:val="center"/>
          </w:tcPr>
          <w:p>
            <w:pPr>
              <w:pStyle w:val="TableContents"/>
              <w:bidi w:val="0"/>
              <w:spacing w:before="0" w:after="283"/>
              <w:jc w:val="left"/>
              <w:rPr>
                <w:b/>
                <w:spacing w:val="0"/>
              </w:rPr>
            </w:pPr>
            <w:r>
              <w:rPr>
                <w:b/>
                <w:spacing w:val="0"/>
              </w:rPr>
              <w:t>Title of Class</w:t>
            </w:r>
          </w:p>
        </w:tc>
        <w:tc>
          <w:tcPr>
            <w:tcW w:w="2926" w:type="dxa"/>
            <w:tcBorders>
              <w:bottom w:val="single" w:sz="12" w:space="0" w:color="000000"/>
            </w:tcBorders>
            <w:tcMar>
              <w:top w:w="0" w:type="dxa"/>
              <w:left w:w="0" w:type="dxa"/>
              <w:right w:w="0" w:type="dxa"/>
            </w:tcMar>
            <w:vAlign w:val="center"/>
          </w:tcPr>
          <w:p>
            <w:pPr>
              <w:pStyle w:val="TableContents"/>
              <w:bidi w:val="0"/>
              <w:spacing w:before="0" w:after="283"/>
              <w:jc w:val="center"/>
              <w:rPr>
                <w:b/>
                <w:spacing w:val="0"/>
              </w:rPr>
            </w:pPr>
            <w:r>
              <w:rPr>
                <w:b/>
                <w:spacing w:val="0"/>
              </w:rPr>
              <w:t>Number of Record Holders</w:t>
            </w:r>
          </w:p>
        </w:tc>
      </w:tr>
      <w:tr>
        <w:trPr/>
        <w:tc>
          <w:tcPr>
            <w:tcW w:w="1666" w:type="dxa"/>
            <w:tcBorders/>
            <w:shd w:fill="CCEEFF" w:val="clear"/>
            <w:tcMar>
              <w:top w:w="0" w:type="dxa"/>
              <w:left w:w="0" w:type="dxa"/>
              <w:bottom w:w="0" w:type="dxa"/>
              <w:right w:w="0" w:type="dxa"/>
            </w:tcMar>
            <w:vAlign w:val="center"/>
          </w:tcPr>
          <w:p>
            <w:pPr>
              <w:pStyle w:val="TableContents"/>
              <w:bidi w:val="0"/>
              <w:spacing w:before="0" w:after="0"/>
              <w:ind w:left="0" w:right="0" w:hanging="187"/>
              <w:jc w:val="left"/>
              <w:rPr/>
            </w:pPr>
            <w:r>
              <w:rPr/>
              <w:t xml:space="preserve">Common Stock </w:t>
            </w:r>
          </w:p>
        </w:tc>
        <w:tc>
          <w:tcPr>
            <w:tcW w:w="292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100 </w:t>
            </w:r>
          </w:p>
        </w:tc>
      </w:tr>
    </w:tbl>
    <w:p>
      <w:pPr>
        <w:pStyle w:val="TextBody"/>
        <w:bidi w:val="0"/>
        <w:spacing w:before="0" w:after="0"/>
        <w:jc w:val="left"/>
        <w:rPr/>
      </w:pPr>
      <w:r>
        <w:rPr/>
        <w:t xml:space="preserve">  </w:t>
      </w:r>
    </w:p>
    <w:p>
      <w:pPr>
        <w:pStyle w:val="TextBody"/>
        <w:bidi w:val="0"/>
        <w:spacing w:before="0" w:after="0"/>
        <w:ind w:left="0" w:right="0" w:hanging="1440"/>
        <w:jc w:val="left"/>
        <w:rPr>
          <w:rFonts w:ascii="Times New Roman" w:hAnsi="Times New Roman"/>
          <w:sz w:val="20"/>
        </w:rPr>
      </w:pPr>
      <w:r>
        <w:rPr>
          <w:rFonts w:ascii="Times New Roman" w:hAnsi="Times New Roman"/>
          <w:b/>
          <w:i/>
          <w:sz w:val="20"/>
        </w:rPr>
        <w:t>Indemnification</w:t>
      </w:r>
      <w:r>
        <w:rPr>
          <w:rFonts w:ascii="Times New Roman" w:hAnsi="Times New Roman"/>
          <w:sz w:val="20"/>
        </w:rPr>
        <w:t xml:space="preserve"> </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914400" cy="175260"/>
                <wp:effectExtent l="0" t="0" r="0" b="0"/>
                <wp:wrapSquare wrapText="right"/>
                <wp:docPr id="39" name="Frame39"/>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b/>
                                <w:sz w:val="20"/>
                              </w:rPr>
                              <w:t>Item 30.</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Item 30.</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Maryland law permits a Maryland corporation to include in its charter a provision eliminating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and that is material to the cause of action. Our charter contains such a provision that eliminates directors’ and officers’ liability to the maximum extent permitted by Maryland law, subject to the requirements of the 1940 Act.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w:t>
      </w:r>
      <w:r>
        <w:rPr>
          <w:rFonts w:ascii="Times New Roman" w:hAnsi="Times New Roman"/>
          <w:color w:val="000000"/>
          <w:sz w:val="20"/>
        </w:rPr>
        <w:t>Under Maryland law, a Maryland corporation may not indemnify a director or officer in a suit by the corporation or in its right in which the director or officer was adjudged liable to the corporation or in a suit in which the director or officer was adjudged liable on the basis that a personal benefit was improperly received. Nevertheless, a court may order indemnification if it determines that the director or officer is fairly and reasonably entitled to indemnification, even though the director or officer did not meet the prescribed standard of conduct or was adjudged liable on the basis that personal benefit was improperly received. However, indemnification for an adverse judgment in a suit by the corporation or in its right, or for a judgment of liability on the basis that a personal benefit was improperly received, is limited to expenses.</w:t>
      </w:r>
      <w:r>
        <w:rPr>
          <w:rFonts w:ascii="Times New Roman" w:hAnsi="Times New Roman"/>
          <w:sz w:val="20"/>
        </w:rPr>
        <w:t xml:space="preserve"> In addition, Maryland law permits a corporation to advance reasonable expenses to a director or officer in advance of final disposition of a proceeding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w:t>
      </w:r>
    </w:p>
    <w:p>
      <w:pPr>
        <w:pStyle w:val="HorizontalLine"/>
        <w:bidi w:val="0"/>
        <w:spacing w:before="200" w:after="200"/>
        <w:jc w:val="left"/>
        <w:rPr/>
      </w:pPr>
      <w:r>
        <w:rPr/>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Our charter obligates us, to the maximum extent permitted by Maryland law and subject to the requirements of the 1940 Act, to indemnify any present or former director or officer or any individual who, while a director or officer and at our request, serves or has served another corporation, partnership, joint venture, trust, limited liability company, employee benefit plan or other enterprise as a director, officer, partner, trustee, employee, or agent, who is made, or threatened to be made, a party to, or witness in, a proceeding by reason of his or her service in such capacity from and against any claim or liability to which that person may become subject or which that person may incur by reason of his or her status as such, and to pay or reimburse their reasonable expenses in advance of final disposition of a proceeding. Our bylaws permit us to indemnify and advance expenses to employees and agents who are not officers or directors to the extent permissible under the MGCL and the 1940 Act and as may be determined by the Board. In accordance with the 1940 Act, we will not indemnify any person for any liability to which such person would be subject by reason of such person’s willful misfeasance, bad faith, gross negligence or reckless disregard of the duties involved in the conduct of his or her office.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Investment Advisory Agreement provides that, absent willful misfeasance, bad faith or gross negligence in the performance of its duties or by reason of the reckless disregard of its duties and obligations, the Adviser and its officers, managers, partners, members (and their members, including the owners of their members), agents, employees, controlling persons and any other person or entity affiliated with it are entitled to indemnification from us for any damages, liabilities, costs and expenses (including reasonable attorneys’ fees and amounts reasonably paid in settlement) arising from the rendering of the Adviser’s services under the Investment Advisory Agreement or otherwise as our investment adviser.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The Administration Agreement provides that, absent willful misfeasance, bad faith or gross negligence in the performance of its duties or by reason of the reckless disregard of its duties and obligations, the Adviser and its officers, managers, partners, members (and their members, including the owners of their members), agents, employees, controlling persons and any other person or entity affiliated with it are entitled to indemnification from us for any damages, liabilities, costs and expenses (including reasonable attorneys’ fees and amounts reasonably paid in settlement) arising from the rendering of the Adviser’s services under the Administration Agreement or otherwise as our administrator.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Insofar as indemnification for liability arising under the Securities Act may be permitted to directors, officers and controlling persons of us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us in the successful defense of any action, suit or proceeding) is asserted by such director, officer or controlling person in connection with the securities being registered, we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We have entered into indemnification agreements with our directors. The indemnification agreements are intended to provide our directors the maximum indemnification permitted under Maryland law and the 1940 Act. Each indemnification agreement provides that we shall indemnify the director who is a party to the agreement (an “Indemnitee”), including the advancement of legal expenses, if, by reason of his or her corporate status, the Indemnitee is, or is threatened to be, made a party to or a witness in any threatened, pending, or completed proceeding, to the maximum extent permitted by Maryland law and the 1940 Act. </w:t>
      </w:r>
    </w:p>
    <w:p>
      <w:pPr>
        <w:pStyle w:val="TextBody"/>
        <w:bidi w:val="0"/>
        <w:spacing w:before="0" w:after="0"/>
        <w:jc w:val="both"/>
        <w:rPr/>
      </w:pPr>
      <w:r>
        <w:rPr/>
        <w:t xml:space="preserve">  </w:t>
      </w:r>
    </w:p>
    <w:p>
      <w:pPr>
        <w:pStyle w:val="TextBody"/>
        <w:bidi w:val="0"/>
        <w:spacing w:before="0" w:after="0"/>
        <w:ind w:left="0" w:right="0" w:hanging="1440"/>
        <w:jc w:val="both"/>
        <w:rPr>
          <w:rFonts w:ascii="Times New Roman" w:hAnsi="Times New Roman"/>
          <w:sz w:val="20"/>
        </w:rPr>
      </w:pPr>
      <w:r>
        <w:rPr>
          <w:rFonts w:ascii="Times New Roman" w:hAnsi="Times New Roman"/>
          <w:b/>
          <w:i/>
          <w:sz w:val="20"/>
        </w:rPr>
        <w:t>Business and Other Connections of Investment Adviser</w:t>
      </w:r>
      <w:r>
        <w:rPr>
          <w:rFonts w:ascii="Times New Roman" w:hAnsi="Times New Roman"/>
          <w:sz w:val="20"/>
        </w:rPr>
        <w:t xml:space="preserve"> </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914400" cy="175260"/>
                <wp:effectExtent l="0" t="0" r="0" b="0"/>
                <wp:wrapSquare wrapText="right"/>
                <wp:docPr id="40" name="Frame40"/>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b/>
                                <w:sz w:val="20"/>
                              </w:rPr>
                              <w:t>Item 31.</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Item 31.</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A description of any other business, profession, vocation, or employment of a substantial nature in which the Adviser, and each director, executive officer or partner of the Adviser, is or has been during the past two fiscal years, engaged in for his or her own account or in the capacity of director, officer, employee, partner or trustee, is set forth in this Registration Statement in the sections entitled “</w:t>
      </w:r>
      <w:r>
        <w:rPr>
          <w:rFonts w:ascii="Times New Roman" w:hAnsi="Times New Roman"/>
          <w:i/>
          <w:sz w:val="20"/>
        </w:rPr>
        <w:t>The Company</w:t>
      </w:r>
      <w:r>
        <w:rPr>
          <w:rFonts w:ascii="Times New Roman" w:hAnsi="Times New Roman"/>
          <w:sz w:val="20"/>
        </w:rPr>
        <w:t>” and “</w:t>
      </w:r>
      <w:r>
        <w:rPr>
          <w:rFonts w:ascii="Times New Roman" w:hAnsi="Times New Roman"/>
          <w:i/>
          <w:sz w:val="20"/>
        </w:rPr>
        <w:t>Management.</w:t>
      </w:r>
      <w:r>
        <w:rPr>
          <w:rFonts w:ascii="Times New Roman" w:hAnsi="Times New Roman"/>
          <w:sz w:val="20"/>
        </w:rPr>
        <w:t xml:space="preserve">” Additional information regarding the Adviser and its officers is set forth in its Form ADV, filed with the SEC (SEC File No. 801-120486), and is incorporated herein by reference. </w:t>
      </w:r>
    </w:p>
    <w:p>
      <w:pPr>
        <w:pStyle w:val="TextBody"/>
        <w:bidi w:val="0"/>
        <w:spacing w:before="0" w:after="0"/>
        <w:jc w:val="both"/>
        <w:rPr/>
      </w:pPr>
      <w:r>
        <w:rPr/>
        <w:t xml:space="preserve">  </w:t>
      </w:r>
    </w:p>
    <w:p>
      <w:pPr>
        <w:pStyle w:val="TextBody"/>
        <w:bidi w:val="0"/>
        <w:spacing w:before="0" w:after="0"/>
        <w:ind w:left="0" w:right="0" w:hanging="1440"/>
        <w:jc w:val="both"/>
        <w:rPr>
          <w:rFonts w:ascii="Times New Roman" w:hAnsi="Times New Roman"/>
          <w:sz w:val="20"/>
        </w:rPr>
      </w:pPr>
      <w:r>
        <w:rPr>
          <w:rFonts w:ascii="Times New Roman" w:hAnsi="Times New Roman"/>
          <w:b/>
          <w:i/>
          <w:sz w:val="20"/>
        </w:rPr>
        <w:t>Location of Accounts and Records</w:t>
      </w:r>
      <w:r>
        <w:rPr>
          <w:rFonts w:ascii="Times New Roman" w:hAnsi="Times New Roman"/>
          <w:sz w:val="20"/>
        </w:rPr>
        <w:t xml:space="preserve"> </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914400" cy="175260"/>
                <wp:effectExtent l="0" t="0" r="0" b="0"/>
                <wp:wrapSquare wrapText="right"/>
                <wp:docPr id="41" name="Frame41"/>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b/>
                                <w:sz w:val="20"/>
                              </w:rPr>
                              <w:t>Item 32.</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Item 32.</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All accounts, books and other documents required to be maintained by Section 31(a) of the 1940 Act, and the rules thereunder are maintained at the offices of: </w:t>
      </w:r>
    </w:p>
    <w:p>
      <w:pPr>
        <w:pStyle w:val="TextBody"/>
        <w:bidi w:val="0"/>
        <w:spacing w:before="0" w:after="0"/>
        <w:jc w:val="both"/>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(1) the Registrant, 600 Madison Avenue, Suite 1800, New York, NY 10022;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w:t>
      </w:r>
    </w:p>
    <w:p>
      <w:pPr>
        <w:pStyle w:val="HorizontalLine"/>
        <w:bidi w:val="0"/>
        <w:spacing w:before="200" w:after="200"/>
        <w:jc w:val="left"/>
        <w:rPr/>
      </w:pPr>
      <w:r>
        <w:rPr/>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(2) the Transfer Agent, Continental Stock Transfer &amp; Trust Company, 1 State St., 30th Floor, New York, NY 10004; </w:t>
      </w:r>
    </w:p>
    <w:p>
      <w:pPr>
        <w:pStyle w:val="TextBody"/>
        <w:bidi w:val="0"/>
        <w:spacing w:before="0" w:after="0"/>
        <w:jc w:val="left"/>
        <w:rPr/>
      </w:pPr>
      <w:r>
        <w:rPr/>
        <w:t xml:space="preserve">  </w:t>
      </w:r>
    </w:p>
    <w:p>
      <w:pPr>
        <w:pStyle w:val="TextBody"/>
        <w:bidi w:val="0"/>
        <w:spacing w:before="0" w:after="0"/>
        <w:ind w:left="0" w:right="0" w:hanging="300"/>
        <w:jc w:val="left"/>
        <w:rPr>
          <w:rFonts w:ascii="Times New Roman" w:hAnsi="Times New Roman"/>
          <w:sz w:val="20"/>
        </w:rPr>
      </w:pPr>
      <w:r>
        <w:rPr>
          <w:rFonts w:ascii="Times New Roman" w:hAnsi="Times New Roman"/>
          <w:sz w:val="20"/>
        </w:rPr>
        <w:t xml:space="preserve">(3) the Custodians, Western Alliance Trust Company, N.A., One East Washington Street, Ste 1400, Phoenix, AZ 85004, and Western Alliance Bank, One East Washington Street, Phoenix, AZ 85004;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(4) the Adviser, 600 Madison Avenue, Suite 1800, New York, NY 10022; and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(5) the Sub-Administrator, SS&amp;C Technologies, Inc., 50 Milk Street, Boston, MA 02110. </w:t>
      </w:r>
    </w:p>
    <w:p>
      <w:pPr>
        <w:pStyle w:val="TextBody"/>
        <w:bidi w:val="0"/>
        <w:spacing w:before="0" w:after="0"/>
        <w:jc w:val="left"/>
        <w:rPr/>
      </w:pPr>
      <w:r>
        <w:rPr/>
        <w:t xml:space="preserve">  </w:t>
      </w:r>
    </w:p>
    <w:p>
      <w:pPr>
        <w:pStyle w:val="TextBody"/>
        <w:bidi w:val="0"/>
        <w:spacing w:before="0" w:after="0"/>
        <w:ind w:left="0" w:right="0" w:hanging="1440"/>
        <w:jc w:val="both"/>
        <w:rPr>
          <w:rFonts w:ascii="Times New Roman" w:hAnsi="Times New Roman"/>
          <w:sz w:val="20"/>
        </w:rPr>
      </w:pPr>
      <w:r>
        <w:rPr>
          <w:rFonts w:ascii="Times New Roman" w:hAnsi="Times New Roman"/>
          <w:b/>
          <w:i/>
          <w:sz w:val="20"/>
        </w:rPr>
        <w:t>Management Services</w:t>
      </w:r>
      <w:r>
        <w:rPr>
          <w:rFonts w:ascii="Times New Roman" w:hAnsi="Times New Roman"/>
          <w:sz w:val="20"/>
        </w:rPr>
        <w:t xml:space="preserve"> </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914400" cy="175260"/>
                <wp:effectExtent l="0" t="0" r="0" b="0"/>
                <wp:wrapSquare wrapText="right"/>
                <wp:docPr id="42" name="Frame42"/>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b/>
                                <w:sz w:val="20"/>
                              </w:rPr>
                              <w:t>Item 33.</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Item 33.</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Not Applicable </w:t>
      </w:r>
    </w:p>
    <w:p>
      <w:pPr>
        <w:pStyle w:val="TextBody"/>
        <w:bidi w:val="0"/>
        <w:spacing w:before="0" w:after="0"/>
        <w:jc w:val="both"/>
        <w:rPr/>
      </w:pPr>
      <w:r>
        <w:rPr/>
        <w:t xml:space="preserve">  </w:t>
      </w:r>
    </w:p>
    <w:p>
      <w:pPr>
        <w:pStyle w:val="TextBody"/>
        <w:bidi w:val="0"/>
        <w:spacing w:before="0" w:after="0"/>
        <w:ind w:left="0" w:right="0" w:hanging="1440"/>
        <w:jc w:val="both"/>
        <w:rPr>
          <w:rFonts w:ascii="Times New Roman" w:hAnsi="Times New Roman"/>
          <w:sz w:val="20"/>
        </w:rPr>
      </w:pPr>
      <w:r>
        <w:rPr>
          <w:rFonts w:ascii="Times New Roman" w:hAnsi="Times New Roman"/>
          <w:b/>
          <w:i/>
          <w:sz w:val="20"/>
        </w:rPr>
        <w:t>Undertakings</w:t>
      </w:r>
      <w:r>
        <w:rPr>
          <w:rFonts w:ascii="Times New Roman" w:hAnsi="Times New Roman"/>
          <w:sz w:val="20"/>
        </w:rPr>
        <w:t xml:space="preserve"> </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914400" cy="175260"/>
                <wp:effectExtent l="0" t="0" r="0" b="0"/>
                <wp:wrapSquare wrapText="right"/>
                <wp:docPr id="43" name="Frame43"/>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b/>
                                <w:sz w:val="20"/>
                              </w:rPr>
                              <w:t>Item 34.</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Item 34.</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Not Applicable </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457200" cy="175260"/>
                <wp:effectExtent l="0" t="0" r="0" b="0"/>
                <wp:wrapSquare wrapText="right"/>
                <wp:docPr id="44" name="Frame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(1)</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(1)</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Not Applicable </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457200" cy="175260"/>
                <wp:effectExtent l="0" t="0" r="0" b="0"/>
                <wp:wrapSquare wrapText="right"/>
                <wp:docPr id="45" name="Frame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(2)</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 xml:space="preserve">Registrant undertakes: </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457200" cy="175260"/>
                <wp:effectExtent l="0" t="0" r="0" b="0"/>
                <wp:wrapSquare wrapText="right"/>
                <wp:docPr id="46" name="Frame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(3)</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(3)</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450"/>
        <w:jc w:val="both"/>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285750" cy="175260"/>
                <wp:effectExtent l="0" t="0" r="0" b="0"/>
                <wp:wrapSquare wrapText="right"/>
                <wp:docPr id="47" name="Frame47"/>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extBody"/>
                              <w:bidi w:val="0"/>
                              <w:spacing w:before="0" w:after="283"/>
                              <w:jc w:val="left"/>
                              <w:rPr/>
                            </w:pPr>
                            <w:r>
                              <w:rPr>
                                <w:sz w:val="20"/>
                              </w:rPr>
                              <w:t>(a)</w:t>
                            </w:r>
                            <w:r>
                              <w:rPr/>
                              <w:t xml:space="preserve"> </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(a)</w:t>
                      </w:r>
                      <w:r>
                        <w:rPr/>
                        <w:t xml:space="preserve">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ind w:left="1440" w:right="0" w:hanging="0"/>
        <w:jc w:val="left"/>
        <w:rPr>
          <w:rFonts w:ascii="Times New Roman" w:hAnsi="Times New Roman"/>
          <w:sz w:val="20"/>
        </w:rPr>
      </w:pPr>
      <w:r>
        <w:rPr>
          <w:rFonts w:ascii="Times New Roman" w:hAnsi="Times New Roman"/>
          <w:sz w:val="20"/>
        </w:rPr>
        <w:t xml:space="preserve">(1) </w:t>
      </w:r>
    </w:p>
    <w:p>
      <w:pPr>
        <w:pStyle w:val="TextBody"/>
        <w:bidi w:val="0"/>
        <w:spacing w:before="0" w:after="0"/>
        <w:ind w:left="1800" w:right="0" w:hanging="0"/>
        <w:jc w:val="left"/>
        <w:rPr>
          <w:rFonts w:ascii="Times New Roman" w:hAnsi="Times New Roman"/>
          <w:sz w:val="20"/>
        </w:rPr>
      </w:pPr>
      <w:r>
        <w:rPr>
          <w:rFonts w:ascii="Times New Roman" w:hAnsi="Times New Roman"/>
          <w:sz w:val="20"/>
        </w:rPr>
        <w:t xml:space="preserve">to include any prospectus required by Section 10(a)(3) of the Securities Act; </w:t>
      </w:r>
    </w:p>
    <w:p>
      <w:pPr>
        <w:pStyle w:val="TextBody"/>
        <w:bidi w:val="0"/>
        <w:spacing w:before="0" w:after="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Filing Fee Tables” in the effective registration statement; and </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228600" cy="175260"/>
                <wp:effectExtent l="0" t="0" r="0" b="0"/>
                <wp:wrapSquare wrapText="right"/>
                <wp:docPr id="48" name="Frame4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(2)</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(2)</w:t>
                      </w:r>
                      <w:r>
                        <w:rPr/>
                        <w:t xml:space="preserve"> </w:t>
                      </w:r>
                    </w:p>
                  </w:txbxContent>
                </v:textbox>
                <w10:wrap type="square" side="right"/>
              </v:rect>
            </w:pict>
          </mc:Fallback>
        </mc:AlternateContent>
      </w:r>
    </w:p>
    <w:p>
      <w:pPr>
        <w:pStyle w:val="TextBody"/>
        <w:bidi w:val="0"/>
        <w:spacing w:before="0" w:after="0"/>
        <w:ind w:left="180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228600" cy="175260"/>
                <wp:effectExtent l="0" t="0" r="0" b="0"/>
                <wp:wrapSquare wrapText="right"/>
                <wp:docPr id="49" name="Frame4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(3)</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(3)</w:t>
                      </w:r>
                      <w:r>
                        <w:rPr/>
                        <w:t xml:space="preserve"> </w:t>
                      </w:r>
                    </w:p>
                  </w:txbxContent>
                </v:textbox>
                <w10:wrap type="square" side="right"/>
              </v:rect>
            </w:pict>
          </mc:Fallback>
        </mc:AlternateContent>
      </w:r>
    </w:p>
    <w:p>
      <w:pPr>
        <w:pStyle w:val="TextBody"/>
        <w:bidi w:val="0"/>
        <w:spacing w:before="0" w:after="0"/>
        <w:ind w:left="1800" w:right="0" w:hanging="0"/>
        <w:jc w:val="both"/>
        <w:rPr/>
      </w:pPr>
      <w:r>
        <w:rPr/>
        <w:t xml:space="preserve">  </w:t>
      </w:r>
    </w:p>
    <w:p>
      <w:pPr>
        <w:pStyle w:val="TextBody"/>
        <w:bidi w:val="0"/>
        <w:spacing w:before="0" w:after="0"/>
        <w:ind w:left="1440" w:right="0" w:hanging="0"/>
        <w:jc w:val="both"/>
        <w:rPr>
          <w:rFonts w:ascii="Times New Roman" w:hAnsi="Times New Roman"/>
          <w:sz w:val="20"/>
        </w:rPr>
      </w:pPr>
      <w:r>
        <w:rPr>
          <w:rFonts w:ascii="Times New Roman" w:hAnsi="Times New Roman"/>
          <w:i/>
          <w:sz w:val="20"/>
        </w:rPr>
        <w:t>Provided</w:t>
      </w:r>
      <w:r>
        <w:rPr>
          <w:rFonts w:ascii="Times New Roman" w:hAnsi="Times New Roman"/>
          <w:sz w:val="20"/>
        </w:rPr>
        <w:t xml:space="preserve">, however, that paragraphs (a)(1), (a)(2), and (a)(3) of this section do not apply if the information required to be included in a post-effective amendment by those paragraphs is contained in reports filed with or furnished to the SEC by the Registrant pursuant to Section 13 or Section 15(d) of the Exchange Act that are incorporated by reference into the registration statement, or is contained in a form of prospectus filed pursuant to Rule 424(b) that is part of the registration statement. </w:t>
      </w:r>
    </w:p>
    <w:p>
      <w:pPr>
        <w:pStyle w:val="TextBody"/>
        <w:bidi w:val="0"/>
        <w:spacing w:before="0" w:after="0"/>
        <w:ind w:left="1440" w:right="0" w:hanging="0"/>
        <w:jc w:val="both"/>
        <w:rPr/>
      </w:pPr>
      <w:r>
        <w:rPr/>
        <w:t xml:space="preserve">  </w:t>
      </w:r>
    </w:p>
    <w:p>
      <w:pPr>
        <w:pStyle w:val="TextBody"/>
        <w:bidi w:val="0"/>
        <w:spacing w:before="0" w:after="0"/>
        <w:ind w:left="0" w:right="0" w:hanging="446"/>
        <w:jc w:val="both"/>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those securities at that time shall be deemed to be the initial bona fide offering thereof; </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283210" cy="175260"/>
                <wp:effectExtent l="0" t="0" r="0" b="0"/>
                <wp:wrapSquare wrapText="right"/>
                <wp:docPr id="50" name="Frame50"/>
                <a:graphic xmlns:a="http://schemas.openxmlformats.org/drawingml/2006/main">
                  <a:graphicData uri="http://schemas.microsoft.com/office/word/2010/wordprocessingShape">
                    <wps:wsp>
                      <wps:cNvSpPr txBox="1"/>
                      <wps:spPr>
                        <a:xfrm>
                          <a:off x="0" y="0"/>
                          <a:ext cx="283210" cy="175260"/>
                        </a:xfrm>
                        <a:prstGeom prst="rect"/>
                        <a:solidFill>
                          <a:srgbClr val="FFFFFF"/>
                        </a:solidFill>
                      </wps:spPr>
                      <wps:txbx>
                        <w:txbxContent>
                          <w:p>
                            <w:pPr>
                              <w:pStyle w:val="TextBody"/>
                              <w:bidi w:val="0"/>
                              <w:spacing w:before="0" w:after="283"/>
                              <w:jc w:val="left"/>
                              <w:rPr/>
                            </w:pPr>
                            <w:r>
                              <w:rPr>
                                <w:sz w:val="20"/>
                              </w:rPr>
                              <w:t>(b)</w:t>
                            </w:r>
                            <w:r>
                              <w:rPr/>
                              <w:t xml:space="preserve"> </w:t>
                            </w:r>
                          </w:p>
                        </w:txbxContent>
                      </wps:txbx>
                      <wps:bodyPr anchor="t" lIns="0" tIns="0" rIns="0" bIns="0">
                        <a:noAutofit/>
                      </wps:bodyPr>
                    </wps:wsp>
                  </a:graphicData>
                </a:graphic>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(b)</w:t>
                      </w:r>
                      <w:r>
                        <w:rPr/>
                        <w:t xml:space="preserve">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ind w:left="0" w:right="0" w:hanging="446"/>
        <w:jc w:val="both"/>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283210" cy="175260"/>
                <wp:effectExtent l="0" t="0" r="0" b="0"/>
                <wp:wrapSquare wrapText="right"/>
                <wp:docPr id="51" name="Frame51"/>
                <a:graphic xmlns:a="http://schemas.openxmlformats.org/drawingml/2006/main">
                  <a:graphicData uri="http://schemas.microsoft.com/office/word/2010/wordprocessingShape">
                    <wps:wsp>
                      <wps:cNvSpPr txBox="1"/>
                      <wps:spPr>
                        <a:xfrm>
                          <a:off x="0" y="0"/>
                          <a:ext cx="283210" cy="175260"/>
                        </a:xfrm>
                        <a:prstGeom prst="rect"/>
                        <a:solidFill>
                          <a:srgbClr val="FFFFFF"/>
                        </a:solidFill>
                      </wps:spPr>
                      <wps:txbx>
                        <w:txbxContent>
                          <w:p>
                            <w:pPr>
                              <w:pStyle w:val="TextBody"/>
                              <w:bidi w:val="0"/>
                              <w:spacing w:before="0" w:after="283"/>
                              <w:jc w:val="left"/>
                              <w:rPr/>
                            </w:pPr>
                            <w:r>
                              <w:rPr>
                                <w:sz w:val="20"/>
                              </w:rPr>
                              <w:t>(c)</w:t>
                            </w:r>
                            <w:r>
                              <w:rPr/>
                              <w:t xml:space="preserve"> </w:t>
                            </w:r>
                          </w:p>
                        </w:txbxContent>
                      </wps:txbx>
                      <wps:bodyPr anchor="t" lIns="0" tIns="0" rIns="0" bIns="0">
                        <a:noAutofit/>
                      </wps:bodyPr>
                    </wps:wsp>
                  </a:graphicData>
                </a:graphic>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(c)</w:t>
                      </w:r>
                      <w:r>
                        <w:rPr/>
                        <w:t xml:space="preserve"> </w:t>
                      </w:r>
                    </w:p>
                  </w:txbxContent>
                </v:textbox>
                <w10:wrap type="square" side="right"/>
              </v:rect>
            </w:pict>
          </mc:Fallback>
        </mc:AlternateContent>
      </w:r>
    </w:p>
    <w:p>
      <w:pPr>
        <w:pStyle w:val="TextBody"/>
        <w:bidi w:val="0"/>
        <w:spacing w:before="0" w:after="0"/>
        <w:ind w:left="0" w:right="0" w:firstLine="994"/>
        <w:jc w:val="both"/>
        <w:rPr/>
      </w:pPr>
      <w:r>
        <w:rPr/>
        <w:t> </w:t>
      </w:r>
    </w:p>
    <w:p>
      <w:pPr>
        <w:pStyle w:val="TextBody"/>
        <w:bidi w:val="0"/>
        <w:spacing w:before="0" w:after="0"/>
        <w:ind w:left="0" w:right="0" w:hanging="446"/>
        <w:jc w:val="both"/>
        <w:rPr>
          <w:rFonts w:ascii="Times New Roman" w:hAnsi="Times New Roman"/>
          <w:sz w:val="20"/>
        </w:rPr>
      </w:pPr>
      <w:r>
        <w:rPr>
          <w:rFonts w:ascii="Times New Roman" w:hAnsi="Times New Roman"/>
          <w:sz w:val="20"/>
        </w:rPr>
        <w:t xml:space="preserve">that, for the purpose of determining liability under the Securities Act to any purchaser: </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283210" cy="175260"/>
                <wp:effectExtent l="0" t="0" r="0" b="0"/>
                <wp:wrapSquare wrapText="right"/>
                <wp:docPr id="52" name="Frame52"/>
                <a:graphic xmlns:a="http://schemas.openxmlformats.org/drawingml/2006/main">
                  <a:graphicData uri="http://schemas.microsoft.com/office/word/2010/wordprocessingShape">
                    <wps:wsp>
                      <wps:cNvSpPr txBox="1"/>
                      <wps:spPr>
                        <a:xfrm>
                          <a:off x="0" y="0"/>
                          <a:ext cx="283210" cy="175260"/>
                        </a:xfrm>
                        <a:prstGeom prst="rect"/>
                        <a:solidFill>
                          <a:srgbClr val="FFFFFF"/>
                        </a:solidFill>
                      </wps:spPr>
                      <wps:txbx>
                        <w:txbxContent>
                          <w:p>
                            <w:pPr>
                              <w:pStyle w:val="TextBody"/>
                              <w:bidi w:val="0"/>
                              <w:spacing w:before="0" w:after="283"/>
                              <w:jc w:val="left"/>
                              <w:rPr/>
                            </w:pPr>
                            <w:r>
                              <w:rPr/>
                              <w:t xml:space="preserve">(d) </w:t>
                            </w:r>
                          </w:p>
                        </w:txbxContent>
                      </wps:txbx>
                      <wps:bodyPr anchor="t" lIns="0" tIns="0" rIns="0" bIns="0">
                        <a:noAutofit/>
                      </wps:bodyPr>
                    </wps:wsp>
                  </a:graphicData>
                </a:graphic>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(d)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(d)</w:t>
      </w:r>
    </w:p>
    <w:p>
      <w:pPr>
        <w:pStyle w:val="HorizontalLine"/>
        <w:bidi w:val="0"/>
        <w:spacing w:before="200" w:after="200"/>
        <w:jc w:val="left"/>
        <w:rPr/>
      </w:pPr>
      <w:r>
        <w:rPr/>
      </w:r>
    </w:p>
    <w:p>
      <w:pPr>
        <w:pStyle w:val="TextBody"/>
        <w:bidi w:val="0"/>
        <w:spacing w:before="0" w:after="0"/>
        <w:ind w:left="1440" w:right="0" w:hanging="0"/>
        <w:jc w:val="left"/>
        <w:rPr>
          <w:rFonts w:ascii="Times New Roman" w:hAnsi="Times New Roman"/>
          <w:sz w:val="20"/>
        </w:rPr>
      </w:pPr>
      <w:r>
        <w:rPr>
          <w:rFonts w:ascii="Times New Roman" w:hAnsi="Times New Roman"/>
          <w:sz w:val="20"/>
        </w:rPr>
        <w:t xml:space="preserve">(1) </w:t>
      </w:r>
    </w:p>
    <w:p>
      <w:pPr>
        <w:pStyle w:val="TextBody"/>
        <w:bidi w:val="0"/>
        <w:spacing w:before="0" w:after="0"/>
        <w:ind w:left="1800" w:right="0" w:hanging="0"/>
        <w:jc w:val="both"/>
        <w:rPr>
          <w:rFonts w:ascii="Times New Roman" w:hAnsi="Times New Roman"/>
          <w:sz w:val="20"/>
        </w:rPr>
      </w:pPr>
      <w:r>
        <w:rPr>
          <w:rFonts w:ascii="Times New Roman" w:hAnsi="Times New Roman"/>
          <w:sz w:val="20"/>
        </w:rPr>
        <w:t xml:space="preserve">if the Registrant is relying on Rule 430B: </w:t>
      </w:r>
    </w:p>
    <w:p>
      <w:pPr>
        <w:pStyle w:val="TextBody"/>
        <w:bidi w:val="0"/>
        <w:spacing w:before="0" w:after="0"/>
        <w:jc w:val="both"/>
        <w:rPr/>
      </w:pPr>
      <w:r>
        <w:rPr/>
        <w:t xml:space="preserve">  </w:t>
      </w:r>
    </w:p>
    <w:p>
      <w:pPr>
        <w:pStyle w:val="TextBody"/>
        <w:bidi w:val="0"/>
        <w:spacing w:before="0" w:after="0"/>
        <w:ind w:left="0" w:right="0" w:hanging="450"/>
        <w:jc w:val="both"/>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285750" cy="175260"/>
                <wp:effectExtent l="0" t="0" r="0" b="0"/>
                <wp:wrapSquare wrapText="right"/>
                <wp:docPr id="53" name="Frame53"/>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extBody"/>
                              <w:bidi w:val="0"/>
                              <w:spacing w:before="0" w:after="283"/>
                              <w:jc w:val="left"/>
                              <w:rPr/>
                            </w:pPr>
                            <w:r>
                              <w:rPr>
                                <w:sz w:val="20"/>
                              </w:rPr>
                              <w:t>(A)</w:t>
                            </w:r>
                            <w:r>
                              <w:rPr/>
                              <w:t xml:space="preserve"> </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(A)</w:t>
                      </w:r>
                      <w:r>
                        <w:rPr/>
                        <w:t xml:space="preserve"> </w:t>
                      </w:r>
                    </w:p>
                  </w:txbxContent>
                </v:textbox>
                <w10:wrap type="square" side="right"/>
              </v:rect>
            </w:pict>
          </mc:Fallback>
        </mc:AlternateContent>
      </w:r>
    </w:p>
    <w:p>
      <w:pPr>
        <w:pStyle w:val="TextBody"/>
        <w:bidi w:val="0"/>
        <w:spacing w:before="0" w:after="0"/>
        <w:ind w:left="2250" w:right="0" w:hanging="0"/>
        <w:jc w:val="both"/>
        <w:rPr/>
      </w:pPr>
      <w:r>
        <w:rPr/>
        <w:t xml:space="preserve">  </w:t>
      </w:r>
    </w:p>
    <w:p>
      <w:pPr>
        <w:pStyle w:val="TextBody"/>
        <w:bidi w:val="0"/>
        <w:spacing w:before="0" w:after="0"/>
        <w:ind w:left="0" w:right="0" w:hanging="450"/>
        <w:jc w:val="both"/>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(x), or (xi)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hAnsi="Times New Roman"/>
          <w:i/>
          <w:sz w:val="20"/>
        </w:rPr>
        <w:t>Provided, 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 </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285750" cy="175260"/>
                <wp:effectExtent l="0" t="0" r="0" b="0"/>
                <wp:wrapSquare wrapText="right"/>
                <wp:docPr id="54" name="Frame54"/>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extBody"/>
                              <w:bidi w:val="0"/>
                              <w:spacing w:before="0" w:after="283"/>
                              <w:jc w:val="left"/>
                              <w:rPr/>
                            </w:pPr>
                            <w:r>
                              <w:rPr>
                                <w:sz w:val="20"/>
                              </w:rPr>
                              <w:t>(B)</w:t>
                            </w:r>
                            <w:r>
                              <w:rPr/>
                              <w:t xml:space="preserve"> </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(B)</w:t>
                      </w:r>
                      <w:r>
                        <w:rPr/>
                        <w:t xml:space="preserve"> </w:t>
                      </w:r>
                    </w:p>
                  </w:txbxContent>
                </v:textbox>
                <w10:wrap type="square" side="right"/>
              </v:rect>
            </w:pict>
          </mc:Fallback>
        </mc:AlternateContent>
      </w:r>
    </w:p>
    <w:p>
      <w:pPr>
        <w:pStyle w:val="TextBody"/>
        <w:bidi w:val="0"/>
        <w:spacing w:before="0" w:after="0"/>
        <w:ind w:left="225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if the Registrant is subject to Rule 430C: each prospectus filed pursuant to Rule 424(b) under the Securities Act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 w:hAnsi="Times New Roman"/>
          <w:i/>
          <w:sz w:val="20"/>
        </w:rPr>
        <w:t>Provided, 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228600" cy="175260"/>
                <wp:effectExtent l="0" t="0" r="0" b="0"/>
                <wp:wrapSquare wrapText="right"/>
                <wp:docPr id="55" name="Frame5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(2)</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(2)</w:t>
                      </w:r>
                      <w:r>
                        <w:rPr/>
                        <w:t xml:space="preserve"> </w:t>
                      </w:r>
                    </w:p>
                  </w:txbxContent>
                </v:textbox>
                <w10:wrap type="square" side="right"/>
              </v:rect>
            </w:pict>
          </mc:Fallback>
        </mc:AlternateContent>
      </w:r>
    </w:p>
    <w:p>
      <w:pPr>
        <w:pStyle w:val="TextBody"/>
        <w:bidi w:val="0"/>
        <w:spacing w:before="0" w:after="0"/>
        <w:ind w:left="1800" w:right="0" w:hanging="0"/>
        <w:jc w:val="both"/>
        <w:rPr/>
      </w:pPr>
      <w:r>
        <w:rPr/>
        <w:t xml:space="preserve">  </w:t>
      </w:r>
    </w:p>
    <w:p>
      <w:pPr>
        <w:pStyle w:val="TextBody"/>
        <w:bidi w:val="0"/>
        <w:spacing w:before="0" w:after="0"/>
        <w:ind w:left="0" w:right="0" w:hanging="446"/>
        <w:jc w:val="both"/>
        <w:rPr>
          <w:rFonts w:ascii="Times New Roman" w:hAnsi="Times New Roman"/>
          <w:sz w:val="20"/>
        </w:rPr>
      </w:pPr>
      <w:r>
        <w:rPr>
          <w:rFonts w:ascii="Times New Roman" w:hAnsi="Times New Roman"/>
          <w:sz w:val="20"/>
        </w:rPr>
        <w:t xml:space="preserve">that for the purpose of determining liability of the Registrant under the Securities Act to any purchaser in the initial distribution of securities: </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283210" cy="175260"/>
                <wp:effectExtent l="0" t="0" r="0" b="0"/>
                <wp:wrapSquare wrapText="right"/>
                <wp:docPr id="56" name="Frame56"/>
                <a:graphic xmlns:a="http://schemas.openxmlformats.org/drawingml/2006/main">
                  <a:graphicData uri="http://schemas.microsoft.com/office/word/2010/wordprocessingShape">
                    <wps:wsp>
                      <wps:cNvSpPr txBox="1"/>
                      <wps:spPr>
                        <a:xfrm>
                          <a:off x="0" y="0"/>
                          <a:ext cx="283210" cy="175260"/>
                        </a:xfrm>
                        <a:prstGeom prst="rect"/>
                        <a:solidFill>
                          <a:srgbClr val="FFFFFF"/>
                        </a:solidFill>
                      </wps:spPr>
                      <wps:txbx>
                        <w:txbxContent>
                          <w:p>
                            <w:pPr>
                              <w:pStyle w:val="TextBody"/>
                              <w:bidi w:val="0"/>
                              <w:spacing w:before="0" w:after="283"/>
                              <w:jc w:val="left"/>
                              <w:rPr/>
                            </w:pPr>
                            <w:r>
                              <w:rPr>
                                <w:sz w:val="20"/>
                              </w:rPr>
                              <w:t>(e)</w:t>
                            </w:r>
                            <w:r>
                              <w:rPr/>
                              <w:t xml:space="preserve"> </w:t>
                            </w:r>
                          </w:p>
                        </w:txbxContent>
                      </wps:txbx>
                      <wps:bodyPr anchor="t" lIns="0" tIns="0" rIns="0" bIns="0">
                        <a:noAutofit/>
                      </wps:bodyPr>
                    </wps:wsp>
                  </a:graphicData>
                </a:graphic>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(e)</w:t>
                      </w:r>
                      <w:r>
                        <w:rPr/>
                        <w:t xml:space="preserve">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ind w:left="1440" w:right="0" w:hanging="0"/>
        <w:jc w:val="left"/>
        <w:rPr>
          <w:rFonts w:ascii="Times New Roman" w:hAnsi="Times New Roman"/>
          <w:sz w:val="20"/>
        </w:rPr>
      </w:pPr>
      <w:r>
        <w:rPr>
          <w:rFonts w:ascii="Times New Roman" w:hAnsi="Times New Roman"/>
          <w:sz w:val="20"/>
        </w:rPr>
        <w:t xml:space="preserve">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 </w:t>
      </w:r>
    </w:p>
    <w:p>
      <w:pPr>
        <w:pStyle w:val="TextBody"/>
        <w:bidi w:val="0"/>
        <w:spacing w:before="0" w:after="0"/>
        <w:ind w:left="1440" w:right="0" w:hanging="0"/>
        <w:jc w:val="both"/>
        <w:rPr/>
      </w:pPr>
      <w:r>
        <w:rPr/>
        <w:t xml:space="preserve">  </w:t>
      </w:r>
    </w:p>
    <w:p>
      <w:pPr>
        <w:pStyle w:val="TextBody"/>
        <w:bidi w:val="0"/>
        <w:spacing w:before="0" w:after="0"/>
        <w:ind w:left="1440" w:right="0" w:hanging="0"/>
        <w:jc w:val="left"/>
        <w:rPr>
          <w:rFonts w:ascii="Times New Roman" w:hAnsi="Times New Roman"/>
          <w:sz w:val="20"/>
        </w:rPr>
      </w:pPr>
      <w:r>
        <w:rPr>
          <w:rFonts w:ascii="Times New Roman" w:hAnsi="Times New Roman"/>
          <w:sz w:val="20"/>
        </w:rPr>
        <w:t xml:space="preserve">(1) </w:t>
      </w:r>
    </w:p>
    <w:p>
      <w:pPr>
        <w:pStyle w:val="TextBody"/>
        <w:bidi w:val="0"/>
        <w:spacing w:before="0" w:after="0"/>
        <w:ind w:left="1800" w:right="0" w:hanging="0"/>
        <w:jc w:val="both"/>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under the Securities Act; </w:t>
      </w:r>
    </w:p>
    <w:p>
      <w:pPr>
        <w:pStyle w:val="TextBody"/>
        <w:bidi w:val="0"/>
        <w:spacing w:before="0" w:after="0"/>
        <w:ind w:left="180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free writing prospectus relating to the offering prepared by or on behalf of the undersigned Registrant or used or referred to by the undersigned Registrant; </w:t>
      </w:r>
      <w:r>
        <mc:AlternateContent>
          <mc:Choice Requires="wps">
            <w:drawing>
              <wp:anchor behindDoc="0" distT="0" distB="0" distL="0" distR="0" simplePos="0" locked="0" layoutInCell="1" allowOverlap="1" relativeHeight="59">
                <wp:simplePos x="0" y="0"/>
                <wp:positionH relativeFrom="column">
                  <wp:align>left</wp:align>
                </wp:positionH>
                <wp:positionV relativeFrom="line">
                  <wp:posOffset>635</wp:posOffset>
                </wp:positionV>
                <wp:extent cx="228600" cy="175260"/>
                <wp:effectExtent l="0" t="0" r="0" b="0"/>
                <wp:wrapSquare wrapText="right"/>
                <wp:docPr id="57" name="Frame5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(2)</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(2)</w:t>
                      </w:r>
                      <w:r>
                        <w:rPr/>
                        <w:t xml:space="preserve"> </w:t>
                      </w:r>
                    </w:p>
                  </w:txbxContent>
                </v:textbox>
                <w10:wrap type="square" side="right"/>
              </v:rect>
            </w:pict>
          </mc:Fallback>
        </mc:AlternateContent>
      </w:r>
    </w:p>
    <w:p>
      <w:pPr>
        <w:pStyle w:val="TextBody"/>
        <w:bidi w:val="0"/>
        <w:spacing w:before="0" w:after="0"/>
        <w:ind w:left="180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portion of any other free writing prospectus or advertisement pursuant to Rule 482 under the Securities Act relating to the offering containing material information about the undersigned Registrant or its securities provided by or on behalf of the undersigned Registrant; and </w: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228600" cy="175260"/>
                <wp:effectExtent l="0" t="0" r="0" b="0"/>
                <wp:wrapSquare wrapText="right"/>
                <wp:docPr id="58" name="Frame5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(3)</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(3)</w:t>
                      </w:r>
                      <w:r>
                        <w:rPr/>
                        <w:t xml:space="preserve"> </w:t>
                      </w:r>
                    </w:p>
                  </w:txbxContent>
                </v:textbox>
                <w10:wrap type="square" side="right"/>
              </v:rect>
            </w:pict>
          </mc:Fallback>
        </mc:AlternateContent>
      </w:r>
    </w:p>
    <w:p>
      <w:pPr>
        <w:pStyle w:val="TextBody"/>
        <w:bidi w:val="0"/>
        <w:spacing w:before="0" w:after="0"/>
        <w:ind w:left="1800" w:right="0" w:hanging="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r>
        <mc:AlternateContent>
          <mc:Choice Requires="wps">
            <w:drawing>
              <wp:anchor behindDoc="0" distT="0" distB="0" distL="0" distR="0" simplePos="0" locked="0" layoutInCell="1" allowOverlap="1" relativeHeight="61">
                <wp:simplePos x="0" y="0"/>
                <wp:positionH relativeFrom="column">
                  <wp:align>left</wp:align>
                </wp:positionH>
                <wp:positionV relativeFrom="line">
                  <wp:posOffset>635</wp:posOffset>
                </wp:positionV>
                <wp:extent cx="228600" cy="175260"/>
                <wp:effectExtent l="0" t="0" r="0" b="0"/>
                <wp:wrapSquare wrapText="right"/>
                <wp:docPr id="59" name="Frame5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(4)</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(4)</w:t>
                      </w:r>
                      <w:r>
                        <w:rPr/>
                        <w:t xml:space="preserve"> </w:t>
                      </w:r>
                    </w:p>
                  </w:txbxContent>
                </v:textbox>
                <w10:wrap type="square" side="right"/>
              </v:rect>
            </w:pict>
          </mc:Fallback>
        </mc:AlternateContent>
      </w:r>
    </w:p>
    <w:p>
      <w:pPr>
        <w:pStyle w:val="TextBody"/>
        <w:bidi w:val="0"/>
        <w:spacing w:before="0" w:after="0"/>
        <w:jc w:val="both"/>
        <w:rPr/>
      </w:pPr>
      <w:r>
        <w:rPr/>
        <w:t>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Not Applicable </w:t>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228600" cy="175260"/>
                <wp:effectExtent l="0" t="0" r="0" b="0"/>
                <wp:wrapSquare wrapText="right"/>
                <wp:docPr id="60" name="Frame6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(4)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(4)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The undersigned Registrant hereby undertakes that, for purposes of determining any liability under the Securities Act, each filing of the Registrant’s annual report pursuant to Section 13(a) or Section 15(d) of the Exchange Act that is incorporated by reference into the registration statement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0" distB="0" distL="0" distR="0" simplePos="0" locked="0" layoutInCell="1" allowOverlap="1" relativeHeight="63">
                <wp:simplePos x="0" y="0"/>
                <wp:positionH relativeFrom="column">
                  <wp:align>left</wp:align>
                </wp:positionH>
                <wp:positionV relativeFrom="line">
                  <wp:posOffset>635</wp:posOffset>
                </wp:positionV>
                <wp:extent cx="228600" cy="175260"/>
                <wp:effectExtent l="0" t="0" r="0" b="0"/>
                <wp:wrapSquare wrapText="right"/>
                <wp:docPr id="61" name="Frame6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(5)</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(5)</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r>
        <mc:AlternateContent>
          <mc:Choice Requires="wps">
            <w:drawing>
              <wp:anchor behindDoc="0" distT="0" distB="0" distL="0" distR="0" simplePos="0" locked="0" layoutInCell="1" allowOverlap="1" relativeHeight="64">
                <wp:simplePos x="0" y="0"/>
                <wp:positionH relativeFrom="column">
                  <wp:align>left</wp:align>
                </wp:positionH>
                <wp:positionV relativeFrom="line">
                  <wp:posOffset>635</wp:posOffset>
                </wp:positionV>
                <wp:extent cx="228600" cy="175260"/>
                <wp:effectExtent l="0" t="0" r="0" b="0"/>
                <wp:wrapSquare wrapText="right"/>
                <wp:docPr id="62" name="Frame6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(6)</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(6)</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Registrant undertakes to send by first class mail or other means designed to ensure equally prompt delivery, within two business days of receipt of a written or oral request, any prospectus. </w:t>
      </w:r>
      <w:r>
        <mc:AlternateContent>
          <mc:Choice Requires="wps">
            <w:drawing>
              <wp:anchor behindDoc="0" distT="0" distB="0" distL="0" distR="0" simplePos="0" locked="0" layoutInCell="1" allowOverlap="1" relativeHeight="65">
                <wp:simplePos x="0" y="0"/>
                <wp:positionH relativeFrom="column">
                  <wp:align>left</wp:align>
                </wp:positionH>
                <wp:positionV relativeFrom="line">
                  <wp:posOffset>635</wp:posOffset>
                </wp:positionV>
                <wp:extent cx="228600" cy="175260"/>
                <wp:effectExtent l="0" t="0" r="0" b="0"/>
                <wp:wrapSquare wrapText="right"/>
                <wp:docPr id="63" name="Frame6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(7)</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(7)</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0" w:after="0"/>
        <w:jc w:val="center"/>
        <w:rPr>
          <w:rFonts w:ascii="Times New Roman" w:hAnsi="Times New Roman"/>
          <w:sz w:val="20"/>
        </w:rPr>
      </w:pPr>
      <w:r>
        <w:rPr>
          <w:rFonts w:ascii="Times New Roman" w:hAnsi="Times New Roman"/>
          <w:b/>
          <w:color w:val="000000"/>
          <w:sz w:val="20"/>
        </w:rPr>
        <w:t>SIGNATURES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Pursuant to the requirements of the Securities Act of 1933, the Registrant has duly caused this Registration Statement on Form N-2 to be signed on its behalf by the undersigned, thereunto duly authorized, in the City of New York, and the State of New York on the 28th day of September, 2026.</w:t>
      </w:r>
    </w:p>
    <w:p>
      <w:pPr>
        <w:pStyle w:val="TextBody"/>
        <w:bidi w:val="0"/>
        <w:spacing w:before="0" w:after="0"/>
        <w:ind w:left="0" w:right="0" w:firstLine="360"/>
        <w:jc w:val="left"/>
        <w:rPr/>
      </w:pPr>
      <w:r>
        <w:rPr/>
        <w:t> </w:t>
      </w:r>
    </w:p>
    <w:tbl>
      <w:tblPr>
        <w:tblW w:w="5000" w:type="pct"/>
        <w:jc w:val="left"/>
        <w:tblInd w:w="0" w:type="dxa"/>
        <w:tblLayout w:type="fixed"/>
        <w:tblCellMar>
          <w:top w:w="0" w:type="dxa"/>
          <w:left w:w="0" w:type="dxa"/>
          <w:bottom w:w="0" w:type="dxa"/>
          <w:right w:w="0" w:type="dxa"/>
        </w:tblCellMar>
      </w:tblPr>
      <w:tblGrid>
        <w:gridCol w:w="351"/>
        <w:gridCol w:w="1173"/>
        <w:gridCol w:w="1927"/>
        <w:gridCol w:w="6754"/>
      </w:tblGrid>
      <w:tr>
        <w:trPr/>
        <w:tc>
          <w:tcPr>
            <w:tcW w:w="351" w:type="dxa"/>
            <w:tcBorders/>
            <w:vAlign w:val="center"/>
          </w:tcPr>
          <w:p>
            <w:pPr>
              <w:pStyle w:val="TableContents"/>
              <w:bidi w:val="0"/>
              <w:spacing w:before="0" w:after="283"/>
              <w:jc w:val="left"/>
              <w:rPr/>
            </w:pPr>
            <w:r>
              <w:rPr/>
              <w:t> </w:t>
            </w:r>
          </w:p>
        </w:tc>
        <w:tc>
          <w:tcPr>
            <w:tcW w:w="1173" w:type="dxa"/>
            <w:tcBorders/>
            <w:vAlign w:val="center"/>
          </w:tcPr>
          <w:p>
            <w:pPr>
              <w:pStyle w:val="TableContents"/>
              <w:bidi w:val="0"/>
              <w:spacing w:before="0" w:after="283"/>
              <w:jc w:val="left"/>
              <w:rPr/>
            </w:pPr>
            <w:r>
              <w:rPr/>
              <w:t> </w:t>
            </w:r>
          </w:p>
        </w:tc>
        <w:tc>
          <w:tcPr>
            <w:tcW w:w="1927" w:type="dxa"/>
            <w:tcBorders/>
            <w:vAlign w:val="center"/>
          </w:tcPr>
          <w:p>
            <w:pPr>
              <w:pStyle w:val="TableContents"/>
              <w:bidi w:val="0"/>
              <w:spacing w:before="0" w:after="283"/>
              <w:jc w:val="left"/>
              <w:rPr/>
            </w:pPr>
            <w:r>
              <w:rPr/>
              <w:t> </w:t>
            </w:r>
          </w:p>
        </w:tc>
        <w:tc>
          <w:tcPr>
            <w:tcW w:w="6754" w:type="dxa"/>
            <w:tcBorders/>
            <w:vAlign w:val="center"/>
          </w:tcPr>
          <w:p>
            <w:pPr>
              <w:pStyle w:val="TableContents"/>
              <w:bidi w:val="0"/>
              <w:spacing w:before="0" w:after="283"/>
              <w:jc w:val="left"/>
              <w:rPr/>
            </w:pPr>
            <w:r>
              <w:rPr/>
              <w:t> </w:t>
            </w:r>
          </w:p>
        </w:tc>
      </w:tr>
      <w:tr>
        <w:trPr/>
        <w:tc>
          <w:tcPr>
            <w:tcW w:w="351" w:type="dxa"/>
            <w:tcBorders/>
          </w:tcPr>
          <w:p>
            <w:pPr>
              <w:pStyle w:val="TableContents"/>
              <w:bidi w:val="0"/>
              <w:spacing w:before="0" w:after="0"/>
              <w:ind w:left="0" w:right="0" w:hanging="0"/>
              <w:jc w:val="left"/>
              <w:rPr/>
            </w:pPr>
            <w:r>
              <w:rPr/>
              <w:t> </w:t>
            </w:r>
          </w:p>
        </w:tc>
        <w:tc>
          <w:tcPr>
            <w:tcW w:w="9854" w:type="dxa"/>
            <w:gridSpan w:val="3"/>
            <w:tcBorders/>
          </w:tcPr>
          <w:p>
            <w:pPr>
              <w:pStyle w:val="TableContents"/>
              <w:bidi w:val="0"/>
              <w:spacing w:before="0" w:after="0"/>
              <w:ind w:left="0" w:right="0" w:hanging="0"/>
              <w:jc w:val="left"/>
              <w:rPr>
                <w:sz w:val="20"/>
              </w:rPr>
            </w:pPr>
            <w:r>
              <w:rPr>
                <w:sz w:val="20"/>
              </w:rPr>
              <w:t>CHICAGO ATLANTIC BDC, INC.</w:t>
            </w:r>
          </w:p>
        </w:tc>
      </w:tr>
      <w:tr>
        <w:trPr/>
        <w:tc>
          <w:tcPr>
            <w:tcW w:w="351" w:type="dxa"/>
            <w:tcBorders/>
          </w:tcPr>
          <w:p>
            <w:pPr>
              <w:pStyle w:val="TableContents"/>
              <w:bidi w:val="0"/>
              <w:spacing w:before="0" w:after="0"/>
              <w:ind w:left="0" w:right="0" w:hanging="0"/>
              <w:jc w:val="left"/>
              <w:rPr/>
            </w:pPr>
            <w:r>
              <w:rPr/>
              <w:t> </w:t>
            </w:r>
          </w:p>
        </w:tc>
        <w:tc>
          <w:tcPr>
            <w:tcW w:w="9854" w:type="dxa"/>
            <w:gridSpan w:val="3"/>
            <w:tcBorders/>
          </w:tcPr>
          <w:p>
            <w:pPr>
              <w:pStyle w:val="TableContents"/>
              <w:bidi w:val="0"/>
              <w:spacing w:before="0" w:after="0"/>
              <w:ind w:left="0" w:right="0" w:hanging="0"/>
              <w:jc w:val="left"/>
              <w:rPr/>
            </w:pPr>
            <w:r>
              <w:rPr/>
              <w:t> </w:t>
            </w:r>
          </w:p>
        </w:tc>
      </w:tr>
      <w:tr>
        <w:trPr/>
        <w:tc>
          <w:tcPr>
            <w:tcW w:w="351" w:type="dxa"/>
            <w:tcBorders/>
            <w:vAlign w:val="bottom"/>
          </w:tcPr>
          <w:p>
            <w:pPr>
              <w:pStyle w:val="TableContents"/>
              <w:bidi w:val="0"/>
              <w:spacing w:before="0" w:after="0"/>
              <w:ind w:left="0" w:right="0" w:hanging="0"/>
              <w:jc w:val="left"/>
              <w:rPr/>
            </w:pPr>
            <w:r>
              <w:rPr/>
              <w:t> </w:t>
            </w:r>
          </w:p>
        </w:tc>
        <w:tc>
          <w:tcPr>
            <w:tcW w:w="1173" w:type="dxa"/>
            <w:tcBorders/>
            <w:vAlign w:val="bottom"/>
          </w:tcPr>
          <w:p>
            <w:pPr>
              <w:pStyle w:val="TableContents"/>
              <w:bidi w:val="0"/>
              <w:spacing w:before="0" w:after="0"/>
              <w:ind w:left="0" w:right="0" w:hanging="0"/>
              <w:jc w:val="left"/>
              <w:rPr>
                <w:sz w:val="20"/>
              </w:rPr>
            </w:pPr>
            <w:r>
              <w:rPr>
                <w:sz w:val="20"/>
              </w:rPr>
              <w:t>By:</w:t>
            </w:r>
          </w:p>
        </w:tc>
        <w:tc>
          <w:tcPr>
            <w:tcW w:w="8681" w:type="dxa"/>
            <w:gridSpan w:val="2"/>
            <w:tcBorders>
              <w:bottom w:val="single" w:sz="12" w:space="0" w:color="000000"/>
            </w:tcBorders>
            <w:tcMar>
              <w:bottom w:w="28" w:type="dxa"/>
            </w:tcMar>
          </w:tcPr>
          <w:p>
            <w:pPr>
              <w:pStyle w:val="TableContents"/>
              <w:bidi w:val="0"/>
              <w:spacing w:before="0" w:after="0"/>
              <w:ind w:left="0" w:right="0" w:hanging="0"/>
              <w:jc w:val="left"/>
              <w:rPr>
                <w:sz w:val="20"/>
              </w:rPr>
            </w:pPr>
            <w:r>
              <w:rPr>
                <w:sz w:val="20"/>
              </w:rPr>
              <w:t>/s/ Peter Sack</w:t>
            </w:r>
          </w:p>
        </w:tc>
      </w:tr>
      <w:tr>
        <w:trPr/>
        <w:tc>
          <w:tcPr>
            <w:tcW w:w="351" w:type="dxa"/>
            <w:tcBorders/>
          </w:tcPr>
          <w:p>
            <w:pPr>
              <w:pStyle w:val="TableContents"/>
              <w:bidi w:val="0"/>
              <w:spacing w:before="0" w:after="0"/>
              <w:ind w:left="0" w:right="0" w:hanging="0"/>
              <w:jc w:val="left"/>
              <w:rPr/>
            </w:pPr>
            <w:r>
              <w:rPr/>
              <w:t> </w:t>
            </w:r>
          </w:p>
        </w:tc>
        <w:tc>
          <w:tcPr>
            <w:tcW w:w="1173" w:type="dxa"/>
            <w:tcBorders/>
          </w:tcPr>
          <w:p>
            <w:pPr>
              <w:pStyle w:val="TableContents"/>
              <w:bidi w:val="0"/>
              <w:spacing w:before="0" w:after="0"/>
              <w:ind w:left="0" w:right="0" w:hanging="0"/>
              <w:jc w:val="left"/>
              <w:rPr/>
            </w:pPr>
            <w:r>
              <w:rPr/>
              <w:t> </w:t>
            </w:r>
          </w:p>
        </w:tc>
        <w:tc>
          <w:tcPr>
            <w:tcW w:w="1927" w:type="dxa"/>
            <w:tcBorders/>
          </w:tcPr>
          <w:p>
            <w:pPr>
              <w:pStyle w:val="TableContents"/>
              <w:bidi w:val="0"/>
              <w:spacing w:before="0" w:after="0"/>
              <w:ind w:left="0" w:right="0" w:hanging="0"/>
              <w:jc w:val="left"/>
              <w:rPr>
                <w:sz w:val="20"/>
              </w:rPr>
            </w:pPr>
            <w:r>
              <w:rPr>
                <w:sz w:val="20"/>
              </w:rPr>
              <w:t>Name:</w:t>
            </w:r>
          </w:p>
        </w:tc>
        <w:tc>
          <w:tcPr>
            <w:tcW w:w="6754" w:type="dxa"/>
            <w:tcBorders/>
          </w:tcPr>
          <w:p>
            <w:pPr>
              <w:pStyle w:val="TableContents"/>
              <w:bidi w:val="0"/>
              <w:spacing w:before="0" w:after="0"/>
              <w:ind w:left="0" w:right="0" w:hanging="0"/>
              <w:jc w:val="left"/>
              <w:rPr>
                <w:sz w:val="20"/>
              </w:rPr>
            </w:pPr>
            <w:r>
              <w:rPr>
                <w:sz w:val="20"/>
              </w:rPr>
              <w:t>Peter Sack</w:t>
            </w:r>
          </w:p>
        </w:tc>
      </w:tr>
      <w:tr>
        <w:trPr/>
        <w:tc>
          <w:tcPr>
            <w:tcW w:w="351" w:type="dxa"/>
            <w:tcBorders/>
          </w:tcPr>
          <w:p>
            <w:pPr>
              <w:pStyle w:val="TableContents"/>
              <w:bidi w:val="0"/>
              <w:spacing w:before="0" w:after="0"/>
              <w:ind w:left="0" w:right="0" w:hanging="0"/>
              <w:jc w:val="left"/>
              <w:rPr/>
            </w:pPr>
            <w:r>
              <w:rPr/>
              <w:t> </w:t>
            </w:r>
          </w:p>
        </w:tc>
        <w:tc>
          <w:tcPr>
            <w:tcW w:w="1173" w:type="dxa"/>
            <w:tcBorders/>
          </w:tcPr>
          <w:p>
            <w:pPr>
              <w:pStyle w:val="TableContents"/>
              <w:bidi w:val="0"/>
              <w:spacing w:before="0" w:after="0"/>
              <w:ind w:left="0" w:right="0" w:hanging="0"/>
              <w:jc w:val="left"/>
              <w:rPr/>
            </w:pPr>
            <w:r>
              <w:rPr/>
              <w:t> </w:t>
            </w:r>
          </w:p>
        </w:tc>
        <w:tc>
          <w:tcPr>
            <w:tcW w:w="1927" w:type="dxa"/>
            <w:tcBorders/>
          </w:tcPr>
          <w:p>
            <w:pPr>
              <w:pStyle w:val="TableContents"/>
              <w:bidi w:val="0"/>
              <w:spacing w:before="0" w:after="0"/>
              <w:ind w:left="0" w:right="0" w:hanging="0"/>
              <w:jc w:val="left"/>
              <w:rPr>
                <w:sz w:val="20"/>
              </w:rPr>
            </w:pPr>
            <w:r>
              <w:rPr>
                <w:sz w:val="20"/>
              </w:rPr>
              <w:t>Title:</w:t>
            </w:r>
          </w:p>
        </w:tc>
        <w:tc>
          <w:tcPr>
            <w:tcW w:w="6754" w:type="dxa"/>
            <w:tcBorders/>
          </w:tcPr>
          <w:p>
            <w:pPr>
              <w:pStyle w:val="TableContents"/>
              <w:bidi w:val="0"/>
              <w:spacing w:before="0" w:after="0"/>
              <w:ind w:left="0" w:right="0" w:hanging="0"/>
              <w:jc w:val="left"/>
              <w:rPr>
                <w:sz w:val="20"/>
              </w:rPr>
            </w:pPr>
            <w:r>
              <w:rPr>
                <w:sz w:val="20"/>
              </w:rPr>
              <w:t>Chief Executive Officer</w:t>
            </w:r>
          </w:p>
        </w:tc>
      </w:tr>
    </w:tbl>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color w:val="000000"/>
          <w:sz w:val="20"/>
        </w:rPr>
        <w:t>Pursuant to the requirements of the Securities Act of 1933, this Registration Statement has been signed by the following persons in the capacities indicated on September 28, 2026.</w:t>
      </w:r>
      <w:r>
        <w:rPr>
          <w:rFonts w:ascii="Times New Roman" w:hAnsi="Times New Roman"/>
          <w:sz w:val="20"/>
        </w:rPr>
        <w:t xml:space="preserve"> </w:t>
      </w:r>
    </w:p>
    <w:p>
      <w:pPr>
        <w:pStyle w:val="TextBody"/>
        <w:bidi w:val="0"/>
        <w:spacing w:before="0" w:after="0"/>
        <w:jc w:val="left"/>
        <w:rPr/>
      </w:pPr>
      <w:r>
        <w:rPr>
          <w:color w:val="000000"/>
        </w:rPr>
        <w:t> </w:t>
      </w:r>
      <w:r>
        <w:rPr/>
        <w:t xml:space="preserve"> </w:t>
      </w:r>
    </w:p>
    <w:tbl>
      <w:tblPr>
        <w:tblW w:w="8233" w:type="dxa"/>
        <w:jc w:val="left"/>
        <w:tblInd w:w="0" w:type="dxa"/>
        <w:tblLayout w:type="fixed"/>
        <w:tblCellMar>
          <w:top w:w="28" w:type="dxa"/>
          <w:left w:w="28" w:type="dxa"/>
          <w:bottom w:w="28" w:type="dxa"/>
          <w:right w:w="28" w:type="dxa"/>
        </w:tblCellMar>
      </w:tblPr>
      <w:tblGrid>
        <w:gridCol w:w="2866"/>
        <w:gridCol w:w="146"/>
        <w:gridCol w:w="522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1" w:type="dxa"/>
            <w:tcBorders/>
            <w:vAlign w:val="center"/>
          </w:tcPr>
          <w:p>
            <w:pPr>
              <w:pStyle w:val="TableContents"/>
              <w:bidi w:val="0"/>
              <w:spacing w:before="0" w:after="283"/>
              <w:jc w:val="left"/>
              <w:rPr>
                <w:sz w:val="4"/>
                <w:szCs w:val="4"/>
              </w:rPr>
            </w:pPr>
            <w:r>
              <w:rPr>
                <w:sz w:val="4"/>
                <w:szCs w:val="4"/>
              </w:rPr>
            </w:r>
          </w:p>
        </w:tc>
      </w:tr>
      <w:tr>
        <w:trPr/>
        <w:tc>
          <w:tcPr>
            <w:tcW w:w="2866"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b/>
                <w:color w:val="000000"/>
              </w:rPr>
              <w:t>Name</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21"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b/>
                <w:color w:val="000000"/>
              </w:rPr>
              <w:t>Title</w:t>
            </w:r>
            <w:r>
              <w:rPr/>
              <w:t xml:space="preserve"> </w:t>
            </w:r>
          </w:p>
        </w:tc>
      </w:tr>
      <w:tr>
        <w:trPr/>
        <w:tc>
          <w:tcPr>
            <w:tcW w:w="28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color w:val="000000"/>
              </w:rPr>
              <w:t>/s/ Scott Gordon</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21" w:type="dxa"/>
            <w:tcBorders/>
            <w:tcMar>
              <w:top w:w="0" w:type="dxa"/>
              <w:left w:w="0" w:type="dxa"/>
              <w:bottom w:w="0" w:type="dxa"/>
              <w:right w:w="0" w:type="dxa"/>
            </w:tcMar>
            <w:vAlign w:val="center"/>
          </w:tcPr>
          <w:p>
            <w:pPr>
              <w:pStyle w:val="TableContents"/>
              <w:bidi w:val="0"/>
              <w:spacing w:before="0" w:after="283"/>
              <w:jc w:val="center"/>
              <w:rPr/>
            </w:pPr>
            <w:r>
              <w:rPr>
                <w:color w:val="000000"/>
              </w:rPr>
              <w:t>Director, Executive Chairman of the</w:t>
            </w:r>
            <w:r>
              <w:rPr/>
              <w:t xml:space="preserve"> </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pPr>
            <w:r>
              <w:rPr>
                <w:color w:val="000000"/>
              </w:rPr>
              <w:t>Scott Gordon</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21" w:type="dxa"/>
            <w:tcBorders/>
            <w:tcMar>
              <w:top w:w="0" w:type="dxa"/>
              <w:left w:w="0" w:type="dxa"/>
              <w:bottom w:w="0" w:type="dxa"/>
              <w:right w:w="0" w:type="dxa"/>
            </w:tcMar>
            <w:vAlign w:val="center"/>
          </w:tcPr>
          <w:p>
            <w:pPr>
              <w:pStyle w:val="TableContents"/>
              <w:bidi w:val="0"/>
              <w:spacing w:before="0" w:after="283"/>
              <w:jc w:val="center"/>
              <w:rPr/>
            </w:pPr>
            <w:r>
              <w:rPr>
                <w:color w:val="000000"/>
              </w:rPr>
              <w:t>Board of Directors, and Co-Chief Investment Officer</w:t>
            </w:r>
            <w:r>
              <w:rPr/>
              <w:t xml:space="preserve"> </w:t>
            </w:r>
          </w:p>
        </w:tc>
      </w:tr>
      <w:tr>
        <w:trPr/>
        <w:tc>
          <w:tcPr>
            <w:tcW w:w="28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color w:val="000000"/>
              </w:rPr>
              <w:t>/s/ Michael W. Chorske *</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21" w:type="dxa"/>
            <w:vMerge w:val="restart"/>
            <w:tcBorders/>
            <w:tcMar>
              <w:top w:w="0" w:type="dxa"/>
              <w:left w:w="0" w:type="dxa"/>
              <w:bottom w:w="0" w:type="dxa"/>
              <w:right w:w="0" w:type="dxa"/>
            </w:tcMar>
            <w:vAlign w:val="center"/>
          </w:tcPr>
          <w:p>
            <w:pPr>
              <w:pStyle w:val="TableContents"/>
              <w:bidi w:val="0"/>
              <w:spacing w:before="0" w:after="283"/>
              <w:jc w:val="center"/>
              <w:rPr/>
            </w:pPr>
            <w:r>
              <w:rPr>
                <w:color w:val="000000"/>
              </w:rPr>
              <w:t>Director</w:t>
            </w:r>
            <w:r>
              <w:rPr/>
              <w:t xml:space="preserve"> </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pPr>
            <w:r>
              <w:rPr>
                <w:color w:val="000000"/>
              </w:rPr>
              <w:t>Michael W. Chorske</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21" w:type="dxa"/>
            <w:vMerge w:val="continue"/>
            <w:tcBorders/>
            <w:tcMar>
              <w:top w:w="0" w:type="dxa"/>
              <w:left w:w="0" w:type="dxa"/>
              <w:bottom w:w="0" w:type="dxa"/>
              <w:right w:w="0" w:type="dxa"/>
            </w:tcMar>
            <w:vAlign w:val="center"/>
          </w:tcPr>
          <w:p>
            <w:pPr>
              <w:pStyle w:val="Normal"/>
              <w:bidi w:val="0"/>
              <w:jc w:val="left"/>
              <w:rPr/>
            </w:pPr>
            <w:r>
              <w:rPr/>
            </w:r>
          </w:p>
        </w:tc>
      </w:tr>
      <w:tr>
        <w:trPr/>
        <w:tc>
          <w:tcPr>
            <w:tcW w:w="28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color w:val="000000"/>
              </w:rPr>
              <w:t>/s/ Americo Da Corte *</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pPr>
            <w:r>
              <w:rPr>
                <w:color w:val="000000"/>
              </w:rPr>
              <w:t>Americo Da Corte</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21" w:type="dxa"/>
            <w:tcBorders/>
            <w:tcMar>
              <w:top w:w="0" w:type="dxa"/>
              <w:left w:w="0" w:type="dxa"/>
              <w:bottom w:w="0" w:type="dxa"/>
              <w:right w:w="0" w:type="dxa"/>
            </w:tcMar>
            <w:vAlign w:val="center"/>
          </w:tcPr>
          <w:p>
            <w:pPr>
              <w:pStyle w:val="TableContents"/>
              <w:bidi w:val="0"/>
              <w:spacing w:before="0" w:after="283"/>
              <w:jc w:val="center"/>
              <w:rPr/>
            </w:pPr>
            <w:r>
              <w:rPr>
                <w:color w:val="000000"/>
              </w:rPr>
              <w:t>Director</w:t>
            </w:r>
            <w:r>
              <w:rPr/>
              <w:t xml:space="preserve"> </w:t>
            </w:r>
          </w:p>
        </w:tc>
      </w:tr>
      <w:tr>
        <w:trPr/>
        <w:tc>
          <w:tcPr>
            <w:tcW w:w="28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color w:val="000000"/>
              </w:rPr>
              <w:t>/s/ Supurna VedBrat*</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pPr>
            <w:r>
              <w:rPr>
                <w:color w:val="000000"/>
              </w:rPr>
              <w:t>Supurna VedBrat</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21" w:type="dxa"/>
            <w:tcBorders/>
            <w:tcMar>
              <w:top w:w="0" w:type="dxa"/>
              <w:left w:w="0" w:type="dxa"/>
              <w:bottom w:w="0" w:type="dxa"/>
              <w:right w:w="0" w:type="dxa"/>
            </w:tcMar>
            <w:vAlign w:val="center"/>
          </w:tcPr>
          <w:p>
            <w:pPr>
              <w:pStyle w:val="TableContents"/>
              <w:bidi w:val="0"/>
              <w:spacing w:before="0" w:after="283"/>
              <w:jc w:val="center"/>
              <w:rPr/>
            </w:pPr>
            <w:r>
              <w:rPr>
                <w:color w:val="000000"/>
              </w:rPr>
              <w:t>Director</w:t>
            </w:r>
            <w:r>
              <w:rPr/>
              <w:t xml:space="preserve"> </w:t>
            </w:r>
          </w:p>
        </w:tc>
      </w:tr>
      <w:tr>
        <w:trPr/>
        <w:tc>
          <w:tcPr>
            <w:tcW w:w="28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color w:val="000000"/>
              </w:rPr>
              <w:t>/s/ Tracey Brophy Warson *</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pPr>
            <w:r>
              <w:rPr>
                <w:color w:val="000000"/>
              </w:rPr>
              <w:t>Tracey Brophy Warson</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21" w:type="dxa"/>
            <w:tcBorders/>
            <w:tcMar>
              <w:top w:w="0" w:type="dxa"/>
              <w:left w:w="0" w:type="dxa"/>
              <w:bottom w:w="0" w:type="dxa"/>
              <w:right w:w="0" w:type="dxa"/>
            </w:tcMar>
            <w:vAlign w:val="center"/>
          </w:tcPr>
          <w:p>
            <w:pPr>
              <w:pStyle w:val="TableContents"/>
              <w:bidi w:val="0"/>
              <w:spacing w:before="0" w:after="283"/>
              <w:jc w:val="center"/>
              <w:rPr/>
            </w:pPr>
            <w:r>
              <w:rPr>
                <w:color w:val="000000"/>
              </w:rPr>
              <w:t>Director</w:t>
            </w:r>
            <w:r>
              <w:rPr/>
              <w:t xml:space="preserve"> </w:t>
            </w:r>
          </w:p>
        </w:tc>
      </w:tr>
      <w:tr>
        <w:trPr/>
        <w:tc>
          <w:tcPr>
            <w:tcW w:w="28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color w:val="000000"/>
              </w:rPr>
              <w:t>/s/ Peter Sack</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21" w:type="dxa"/>
            <w:tcBorders/>
            <w:tcMar>
              <w:top w:w="0" w:type="dxa"/>
              <w:left w:w="0" w:type="dxa"/>
              <w:bottom w:w="0" w:type="dxa"/>
              <w:right w:w="0" w:type="dxa"/>
            </w:tcMar>
            <w:vAlign w:val="center"/>
          </w:tcPr>
          <w:p>
            <w:pPr>
              <w:pStyle w:val="TableContents"/>
              <w:bidi w:val="0"/>
              <w:spacing w:before="0" w:after="283"/>
              <w:jc w:val="center"/>
              <w:rPr/>
            </w:pPr>
            <w:r>
              <w:rPr>
                <w:color w:val="000000"/>
              </w:rPr>
              <w:t>Chief Executive Officer</w:t>
            </w:r>
            <w:r>
              <w:rPr/>
              <w:t xml:space="preserve"> </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pPr>
            <w:r>
              <w:rPr>
                <w:color w:val="000000"/>
              </w:rPr>
              <w:t>Peter Sack</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21" w:type="dxa"/>
            <w:tcBorders/>
            <w:tcMar>
              <w:top w:w="0" w:type="dxa"/>
              <w:left w:w="0" w:type="dxa"/>
              <w:bottom w:w="0" w:type="dxa"/>
              <w:right w:w="0" w:type="dxa"/>
            </w:tcMar>
            <w:vAlign w:val="center"/>
          </w:tcPr>
          <w:p>
            <w:pPr>
              <w:pStyle w:val="TableContents"/>
              <w:bidi w:val="0"/>
              <w:spacing w:before="0" w:after="283"/>
              <w:jc w:val="center"/>
              <w:rPr/>
            </w:pPr>
            <w:r>
              <w:rPr>
                <w:color w:val="000000"/>
              </w:rPr>
              <w:t>(Principal Executive Officer)</w:t>
            </w:r>
            <w:r>
              <w:rPr/>
              <w:t xml:space="preserve"> </w:t>
            </w:r>
          </w:p>
        </w:tc>
      </w:tr>
      <w:tr>
        <w:trPr/>
        <w:tc>
          <w:tcPr>
            <w:tcW w:w="28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color w:val="000000"/>
              </w:rPr>
              <w:t>/s/ Thomas Geoffroy</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21" w:type="dxa"/>
            <w:tcBorders/>
            <w:tcMar>
              <w:top w:w="0" w:type="dxa"/>
              <w:left w:w="0" w:type="dxa"/>
              <w:bottom w:w="0" w:type="dxa"/>
              <w:right w:w="0" w:type="dxa"/>
            </w:tcMar>
            <w:vAlign w:val="center"/>
          </w:tcPr>
          <w:p>
            <w:pPr>
              <w:pStyle w:val="TableContents"/>
              <w:bidi w:val="0"/>
              <w:spacing w:before="0" w:after="283"/>
              <w:jc w:val="center"/>
              <w:rPr/>
            </w:pPr>
            <w:r>
              <w:rPr>
                <w:color w:val="000000"/>
              </w:rPr>
              <w:t>Interim Chief Financial Officer</w:t>
            </w:r>
            <w:r>
              <w:rPr/>
              <w:t xml:space="preserve"> </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pPr>
            <w:r>
              <w:rPr>
                <w:color w:val="000000"/>
              </w:rPr>
              <w:t>Thomas Geoffroy</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21" w:type="dxa"/>
            <w:tcBorders/>
            <w:tcMar>
              <w:top w:w="0" w:type="dxa"/>
              <w:left w:w="0" w:type="dxa"/>
              <w:bottom w:w="0" w:type="dxa"/>
              <w:right w:w="0" w:type="dxa"/>
            </w:tcMar>
            <w:vAlign w:val="center"/>
          </w:tcPr>
          <w:p>
            <w:pPr>
              <w:pStyle w:val="TableContents"/>
              <w:bidi w:val="0"/>
              <w:spacing w:before="0" w:after="283"/>
              <w:jc w:val="center"/>
              <w:rPr/>
            </w:pPr>
            <w:r>
              <w:rPr>
                <w:color w:val="000000"/>
              </w:rPr>
              <w:t>(Principal Financial Officer)</w:t>
            </w:r>
            <w:r>
              <w:rPr/>
              <w:t xml:space="preserve"> </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66"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color w:val="000000"/>
              </w:rPr>
              <w:t>/s/ Gianni Fazio</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21" w:type="dxa"/>
            <w:tcBorders/>
            <w:tcMar>
              <w:top w:w="0" w:type="dxa"/>
              <w:left w:w="0" w:type="dxa"/>
              <w:bottom w:w="0" w:type="dxa"/>
              <w:right w:w="0" w:type="dxa"/>
            </w:tcMar>
            <w:vAlign w:val="center"/>
          </w:tcPr>
          <w:p>
            <w:pPr>
              <w:pStyle w:val="TableContents"/>
              <w:bidi w:val="0"/>
              <w:spacing w:before="0" w:after="283"/>
              <w:jc w:val="center"/>
              <w:rPr/>
            </w:pPr>
            <w:r>
              <w:rPr>
                <w:color w:val="000000"/>
              </w:rPr>
              <w:t>Chief Accounting Officer</w:t>
            </w:r>
            <w:r>
              <w:rPr/>
              <w:t xml:space="preserve"> </w:t>
            </w:r>
          </w:p>
        </w:tc>
      </w:tr>
      <w:tr>
        <w:trPr/>
        <w:tc>
          <w:tcPr>
            <w:tcW w:w="2866" w:type="dxa"/>
            <w:tcBorders>
              <w:top w:val="single" w:sz="12" w:space="0" w:color="000000"/>
            </w:tcBorders>
            <w:tcMar>
              <w:left w:w="0" w:type="dxa"/>
              <w:bottom w:w="0" w:type="dxa"/>
              <w:right w:w="0" w:type="dxa"/>
            </w:tcMar>
            <w:vAlign w:val="center"/>
          </w:tcPr>
          <w:p>
            <w:pPr>
              <w:pStyle w:val="TableContents"/>
              <w:bidi w:val="0"/>
              <w:spacing w:before="0" w:after="283"/>
              <w:jc w:val="center"/>
              <w:rPr/>
            </w:pPr>
            <w:r>
              <w:rPr>
                <w:color w:val="000000"/>
              </w:rPr>
              <w:t>Gianni Fazio</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2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0" w:after="0"/>
        <w:jc w:val="left"/>
        <w:rPr/>
      </w:pPr>
      <w:r>
        <w:rPr/>
        <w:t xml:space="preserve">  </w:t>
      </w:r>
    </w:p>
    <w:tbl>
      <w:tblPr>
        <w:tblW w:w="2563" w:type="dxa"/>
        <w:jc w:val="left"/>
        <w:tblInd w:w="0" w:type="dxa"/>
        <w:tblLayout w:type="fixed"/>
        <w:tblCellMar>
          <w:top w:w="28" w:type="dxa"/>
          <w:left w:w="28" w:type="dxa"/>
          <w:bottom w:w="28" w:type="dxa"/>
          <w:right w:w="28" w:type="dxa"/>
        </w:tblCellMar>
      </w:tblPr>
      <w:tblGrid>
        <w:gridCol w:w="586"/>
        <w:gridCol w:w="1726"/>
        <w:gridCol w:w="251"/>
      </w:tblGrid>
      <w:tr>
        <w:trPr/>
        <w:tc>
          <w:tcPr>
            <w:tcW w:w="586" w:type="dxa"/>
            <w:tcBorders/>
            <w:vAlign w:val="center"/>
          </w:tcPr>
          <w:p>
            <w:pPr>
              <w:pStyle w:val="TableContents"/>
              <w:bidi w:val="0"/>
              <w:spacing w:before="0" w:after="283"/>
              <w:jc w:val="left"/>
              <w:rPr/>
            </w:pPr>
            <w:r>
              <w:rPr/>
              <w:t> </w:t>
            </w:r>
          </w:p>
        </w:tc>
        <w:tc>
          <w:tcPr>
            <w:tcW w:w="172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r>
      <w:tr>
        <w:trPr/>
        <w:tc>
          <w:tcPr>
            <w:tcW w:w="586" w:type="dxa"/>
            <w:tcBorders/>
            <w:vAlign w:val="center"/>
          </w:tcPr>
          <w:p>
            <w:pPr>
              <w:pStyle w:val="TableContents"/>
              <w:bidi w:val="0"/>
              <w:spacing w:before="0" w:after="0"/>
              <w:jc w:val="left"/>
              <w:rPr/>
            </w:pPr>
            <w:r>
              <w:rPr>
                <w:color w:val="000000"/>
                <w:sz w:val="20"/>
              </w:rPr>
              <w:t>*By:</w:t>
            </w:r>
            <w:r>
              <w:rPr/>
              <w:t xml:space="preserve"> </w:t>
            </w:r>
          </w:p>
        </w:tc>
        <w:tc>
          <w:tcPr>
            <w:tcW w:w="1726" w:type="dxa"/>
            <w:tcBorders>
              <w:bottom w:val="single" w:sz="12" w:space="0" w:color="000000"/>
            </w:tcBorders>
            <w:tcMar>
              <w:top w:w="0" w:type="dxa"/>
              <w:left w:w="0" w:type="dxa"/>
              <w:right w:w="0" w:type="dxa"/>
            </w:tcMar>
            <w:vAlign w:val="center"/>
          </w:tcPr>
          <w:p>
            <w:pPr>
              <w:pStyle w:val="TableContents"/>
              <w:bidi w:val="0"/>
              <w:spacing w:before="0" w:after="0"/>
              <w:jc w:val="left"/>
              <w:rPr/>
            </w:pPr>
            <w:r>
              <w:rPr>
                <w:color w:val="000000"/>
                <w:sz w:val="20"/>
              </w:rPr>
              <w:t>/s/ Peter Sack</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586" w:type="dxa"/>
            <w:tcBorders/>
            <w:vAlign w:val="center"/>
          </w:tcPr>
          <w:p>
            <w:pPr>
              <w:pStyle w:val="TableContents"/>
              <w:bidi w:val="0"/>
              <w:spacing w:before="0" w:after="0"/>
              <w:jc w:val="left"/>
              <w:rPr/>
            </w:pPr>
            <w:r>
              <w:rPr>
                <w:color w:val="000000"/>
              </w:rPr>
              <w:t> </w:t>
            </w:r>
            <w:r>
              <w:rPr/>
              <w:t xml:space="preserve"> </w:t>
            </w:r>
          </w:p>
        </w:tc>
        <w:tc>
          <w:tcPr>
            <w:tcW w:w="1726" w:type="dxa"/>
            <w:tcBorders/>
            <w:vAlign w:val="center"/>
          </w:tcPr>
          <w:p>
            <w:pPr>
              <w:pStyle w:val="TableContents"/>
              <w:bidi w:val="0"/>
              <w:spacing w:before="0" w:after="0"/>
              <w:jc w:val="left"/>
              <w:rPr/>
            </w:pPr>
            <w:r>
              <w:rPr>
                <w:color w:val="000000"/>
                <w:sz w:val="20"/>
              </w:rPr>
              <w:t>Peter Sack</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586" w:type="dxa"/>
            <w:tcBorders/>
            <w:vAlign w:val="center"/>
          </w:tcPr>
          <w:p>
            <w:pPr>
              <w:pStyle w:val="TableContents"/>
              <w:bidi w:val="0"/>
              <w:spacing w:before="0" w:after="0"/>
              <w:jc w:val="left"/>
              <w:rPr/>
            </w:pPr>
            <w:r>
              <w:rPr>
                <w:color w:val="000000"/>
              </w:rPr>
              <w:t> </w:t>
            </w:r>
            <w:r>
              <w:rPr/>
              <w:t xml:space="preserve"> </w:t>
            </w:r>
          </w:p>
        </w:tc>
        <w:tc>
          <w:tcPr>
            <w:tcW w:w="1726" w:type="dxa"/>
            <w:tcBorders/>
            <w:vAlign w:val="center"/>
          </w:tcPr>
          <w:p>
            <w:pPr>
              <w:pStyle w:val="TableContents"/>
              <w:bidi w:val="0"/>
              <w:spacing w:before="0" w:after="0"/>
              <w:jc w:val="left"/>
              <w:rPr/>
            </w:pPr>
            <w:r>
              <w:rPr>
                <w:color w:val="000000"/>
                <w:sz w:val="20"/>
              </w:rPr>
              <w:t>**Attorney-in-Fact</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bl>
    <w:p>
      <w:pPr>
        <w:pStyle w:val="TextBody"/>
        <w:bidi w:val="0"/>
        <w:spacing w:before="0" w:after="0"/>
        <w:jc w:val="left"/>
        <w:rPr/>
      </w:pPr>
      <w:r>
        <w:rPr/>
        <w:t xml:space="preserve">  </w:t>
      </w:r>
    </w:p>
    <w:p>
      <w:pPr>
        <w:pStyle w:val="TextBody"/>
        <w:bidi w:val="0"/>
        <w:spacing w:before="0" w:after="0"/>
        <w:ind w:left="0" w:right="0" w:hanging="720"/>
        <w:jc w:val="left"/>
        <w:rPr>
          <w:rFonts w:ascii="Times New Roman" w:hAnsi="Times New Roman"/>
          <w:color w:val="000000"/>
          <w:sz w:val="20"/>
        </w:rPr>
      </w:pPr>
      <w:r>
        <w:rPr>
          <w:rFonts w:ascii="Times New Roman" w:hAnsi="Times New Roman"/>
          <w:color w:val="000000"/>
          <w:sz w:val="20"/>
        </w:rPr>
        <w:t>Signed by Peter Sack pursuant to a power of attorney signed by each individual and filed herewith.</w:t>
      </w:r>
      <w:r>
        <mc:AlternateContent>
          <mc:Choice Requires="wps">
            <w:drawing>
              <wp:anchor behindDoc="0" distT="0" distB="0" distL="0" distR="0" simplePos="0" locked="0" layoutInCell="1" allowOverlap="1" relativeHeight="66">
                <wp:simplePos x="0" y="0"/>
                <wp:positionH relativeFrom="column">
                  <wp:align>left</wp:align>
                </wp:positionH>
                <wp:positionV relativeFrom="line">
                  <wp:posOffset>635</wp:posOffset>
                </wp:positionV>
                <wp:extent cx="457200" cy="175260"/>
                <wp:effectExtent l="0" t="0" r="0" b="0"/>
                <wp:wrapSquare wrapText="right"/>
                <wp:docPr id="64" name="Frame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w:t>
                      </w: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HorizontalLine"/>
        <w:bidi w:val="0"/>
        <w:jc w:val="left"/>
        <w:rPr/>
      </w:pPr>
      <w:r>
        <w:rPr/>
      </w:r>
      <w:bookmarkStart w:id="2" w:name="ef20082867_exl.htm"/>
      <w:bookmarkStart w:id="3" w:name="ksef20082867_exl"/>
      <w:bookmarkStart w:id="4" w:name="ef20082867_exl.htm"/>
      <w:bookmarkStart w:id="5" w:name="ksef20082867_exl"/>
      <w:bookmarkEnd w:id="4"/>
      <w:bookmarkEnd w:id="5"/>
      <w:r>
        <w:br w:type="page"/>
      </w:r>
    </w:p>
    <w:p>
      <w:pPr>
        <w:pStyle w:val="TextBody"/>
        <w:bidi w:val="0"/>
        <w:spacing w:before="0" w:after="0"/>
        <w:jc w:val="right"/>
        <w:rPr/>
      </w:pPr>
      <w:r>
        <w:rPr>
          <w:b/>
          <w:sz w:val="20"/>
        </w:rPr>
        <w:t>Exhibit L</w:t>
      </w:r>
      <w:r>
        <w:rPr/>
        <w:t xml:space="preserve"> </w:t>
      </w:r>
    </w:p>
    <w:p>
      <w:pPr>
        <w:pStyle w:val="TextBody"/>
        <w:bidi w:val="0"/>
        <w:spacing w:before="0" w:after="0"/>
        <w:jc w:val="left"/>
        <w:rPr/>
      </w:pPr>
      <w:r>
        <w:rPr/>
        <w:t xml:space="preserve">  </w:t>
      </w:r>
    </w:p>
    <w:p>
      <w:pPr>
        <w:pStyle w:val="TextBody"/>
        <w:bidi w:val="0"/>
        <w:spacing w:before="0" w:after="0"/>
        <w:jc w:val="left"/>
        <w:rPr/>
      </w:pPr>
      <w:r>
        <w:rPr/>
        <w:t> </w:t>
      </w:r>
      <w:r>
        <w:rPr/>
        <w:drawing>
          <wp:inline distT="0" distB="0" distL="0" distR="0">
            <wp:extent cx="5819775" cy="1438275"/>
            <wp:effectExtent l="0" t="0" r="0" b="0"/>
            <wp:docPr id="6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1" descr=""/>
                    <pic:cNvPicPr>
                      <a:picLocks noChangeAspect="1" noChangeArrowheads="1"/>
                    </pic:cNvPicPr>
                  </pic:nvPicPr>
                  <pic:blipFill>
                    <a:blip r:embed="rId16"/>
                    <a:stretch>
                      <a:fillRect/>
                    </a:stretch>
                  </pic:blipFill>
                  <pic:spPr bwMode="auto">
                    <a:xfrm>
                      <a:off x="0" y="0"/>
                      <a:ext cx="5819775" cy="1438275"/>
                    </a:xfrm>
                    <a:prstGeom prst="rect">
                      <a:avLst/>
                    </a:prstGeom>
                  </pic:spPr>
                </pic:pic>
              </a:graphicData>
            </a:graphic>
          </wp:inline>
        </w:drawing>
      </w:r>
      <w:r>
        <w:rPr/>
        <w:t xml:space="preserve"> </w:t>
      </w:r>
    </w:p>
    <w:p>
      <w:pPr>
        <w:pStyle w:val="TextBody"/>
        <w:bidi w:val="0"/>
        <w:spacing w:before="0" w:after="0"/>
        <w:jc w:val="left"/>
        <w:rPr/>
      </w:pPr>
      <w:r>
        <w:rPr/>
        <w:t xml:space="preserve">  </w:t>
      </w:r>
    </w:p>
    <w:p>
      <w:pPr>
        <w:pStyle w:val="TextBody"/>
        <w:bidi w:val="0"/>
        <w:spacing w:before="0" w:after="0"/>
        <w:jc w:val="center"/>
        <w:rPr/>
      </w:pPr>
      <w:r>
        <w:rPr>
          <w:sz w:val="20"/>
        </w:rPr>
        <w:t>September 28, 2026</w:t>
      </w:r>
      <w:r>
        <w:rPr/>
        <w:t xml:space="preserve"> </w:t>
      </w:r>
    </w:p>
    <w:p>
      <w:pPr>
        <w:pStyle w:val="TextBody"/>
        <w:bidi w:val="0"/>
        <w:spacing w:before="0" w:after="0"/>
        <w:jc w:val="both"/>
        <w:rPr/>
      </w:pPr>
      <w:r>
        <w:rPr/>
        <w:t xml:space="preserve">  </w:t>
      </w:r>
    </w:p>
    <w:p>
      <w:pPr>
        <w:pStyle w:val="TextBody"/>
        <w:bidi w:val="0"/>
        <w:spacing w:before="0" w:after="0"/>
        <w:jc w:val="left"/>
        <w:rPr/>
      </w:pPr>
      <w:r>
        <w:rPr>
          <w:sz w:val="20"/>
        </w:rPr>
        <w:t>Chicago Atlantic BDC, Inc.</w:t>
      </w:r>
      <w:r>
        <w:rPr/>
        <w:t xml:space="preserve"> </w:t>
      </w:r>
    </w:p>
    <w:p>
      <w:pPr>
        <w:pStyle w:val="TextBody"/>
        <w:bidi w:val="0"/>
        <w:spacing w:before="0" w:after="0"/>
        <w:jc w:val="left"/>
        <w:rPr/>
      </w:pPr>
      <w:r>
        <w:rPr>
          <w:sz w:val="20"/>
        </w:rPr>
        <w:t>600 Madison Avenue, Suite 1800</w:t>
      </w:r>
      <w:r>
        <w:rPr/>
        <w:t xml:space="preserve"> </w:t>
      </w:r>
    </w:p>
    <w:p>
      <w:pPr>
        <w:pStyle w:val="TextBody"/>
        <w:bidi w:val="0"/>
        <w:spacing w:before="0" w:after="0"/>
        <w:jc w:val="left"/>
        <w:rPr/>
      </w:pPr>
      <w:r>
        <w:rPr>
          <w:sz w:val="20"/>
        </w:rPr>
        <w:t>New York, New York 10022</w:t>
      </w:r>
      <w:r>
        <w:rPr/>
        <w:t xml:space="preserve"> </w:t>
      </w:r>
    </w:p>
    <w:p>
      <w:pPr>
        <w:pStyle w:val="TextBody"/>
        <w:bidi w:val="0"/>
        <w:spacing w:before="0" w:after="0"/>
        <w:jc w:val="left"/>
        <w:rPr/>
      </w:pPr>
      <w:r>
        <w:rPr/>
        <w:t xml:space="preserve">  </w:t>
      </w:r>
    </w:p>
    <w:p>
      <w:pPr>
        <w:pStyle w:val="TextBody"/>
        <w:bidi w:val="0"/>
        <w:spacing w:before="0" w:after="0"/>
        <w:ind w:left="0" w:right="0" w:hanging="720"/>
        <w:jc w:val="left"/>
        <w:rPr/>
      </w:pPr>
      <w:r>
        <w:rPr>
          <w:sz w:val="20"/>
        </w:rPr>
        <w:t>Chicago Atlantic BDC, Inc. - Registration Statement on Form N-2</w:t>
      </w:r>
      <w:r>
        <w:rPr/>
        <w:t xml:space="preserve"> </w:t>
      </w:r>
      <w:r>
        <mc:AlternateContent>
          <mc:Choice Requires="wps">
            <w:drawing>
              <wp:anchor behindDoc="0" distT="0" distB="0" distL="0" distR="0" simplePos="0" locked="0" layoutInCell="1" allowOverlap="1" relativeHeight="67">
                <wp:simplePos x="0" y="0"/>
                <wp:positionH relativeFrom="column">
                  <wp:align>left</wp:align>
                </wp:positionH>
                <wp:positionV relativeFrom="line">
                  <wp:posOffset>635</wp:posOffset>
                </wp:positionV>
                <wp:extent cx="457200" cy="175260"/>
                <wp:effectExtent l="0" t="0" r="0" b="0"/>
                <wp:wrapSquare wrapText="right"/>
                <wp:docPr id="66" name="Frame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Re:</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Re:</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pPr>
      <w:r>
        <w:rPr>
          <w:sz w:val="20"/>
        </w:rPr>
        <w:t>Ladies and Gentlemen:</w:t>
      </w:r>
      <w:r>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pPr>
      <w:r>
        <w:rPr>
          <w:sz w:val="20"/>
        </w:rPr>
        <w:t>We have acted as special Maryland counsel to Chicago Atlantic BDC, Inc., a Maryland corporation registered under the Investment Company Act of 1940, as amended (the “</w:t>
      </w:r>
      <w:r>
        <w:rPr>
          <w:sz w:val="20"/>
          <w:u w:val="single"/>
        </w:rPr>
        <w:t>1940 Act</w:t>
      </w:r>
      <w:r>
        <w:rPr/>
        <w:t>”</w:t>
      </w:r>
      <w:r>
        <w:rPr>
          <w:sz w:val="20"/>
        </w:rPr>
        <w:t>), as a Business Development Company (the “</w:t>
      </w:r>
      <w:r>
        <w:rPr>
          <w:sz w:val="20"/>
          <w:u w:val="single"/>
        </w:rPr>
        <w:t>Company</w:t>
      </w:r>
      <w:r>
        <w:rPr/>
        <w:t>”</w:t>
      </w:r>
      <w:r>
        <w:rPr>
          <w:sz w:val="20"/>
        </w:rPr>
        <w:t>), in connection with the registration statement on Form N-2 to be filed by the Company with the Securities and Exchange Commission (the “</w:t>
      </w:r>
      <w:r>
        <w:rPr>
          <w:sz w:val="20"/>
          <w:u w:val="single"/>
        </w:rPr>
        <w:t>SEC</w:t>
      </w:r>
      <w:r>
        <w:rPr/>
        <w:t>”</w:t>
      </w:r>
      <w:r>
        <w:rPr>
          <w:sz w:val="20"/>
        </w:rPr>
        <w:t>) and amended on or about the date hereof (collectively, the “</w:t>
      </w:r>
      <w:r>
        <w:rPr>
          <w:sz w:val="20"/>
          <w:u w:val="single"/>
        </w:rPr>
        <w:t>Registration Statement</w:t>
      </w:r>
      <w:r>
        <w:rPr/>
        <w:t>”</w:t>
      </w:r>
      <w:r>
        <w:rPr>
          <w:sz w:val="20"/>
        </w:rPr>
        <w:t>). The Registration Statement relates to the registration by the Company, under the Securities Act of 1933, as amended (the “</w:t>
      </w:r>
      <w:r>
        <w:rPr>
          <w:sz w:val="20"/>
          <w:u w:val="single"/>
        </w:rPr>
        <w:t>Securities Act</w:t>
      </w:r>
      <w:r>
        <w:rPr/>
        <w:t>”</w:t>
      </w:r>
      <w:r>
        <w:rPr>
          <w:sz w:val="20"/>
        </w:rPr>
        <w:t>), and the 1940 Act, of the issuance of an indeterminate number of securities of the Company having a maximum aggregate offering price not to exceed $500,000,000, consisting of (i) shares (the “</w:t>
      </w:r>
      <w:r>
        <w:rPr>
          <w:sz w:val="20"/>
          <w:u w:val="single"/>
        </w:rPr>
        <w:t>Common Shares</w:t>
      </w:r>
      <w:r>
        <w:rPr/>
        <w:t>”</w:t>
      </w:r>
      <w:r>
        <w:rPr>
          <w:sz w:val="20"/>
        </w:rPr>
        <w:t>) of the Company’s common stock, $0.01 par value (“</w:t>
      </w:r>
      <w:r>
        <w:rPr>
          <w:sz w:val="20"/>
          <w:u w:val="single"/>
        </w:rPr>
        <w:t>Common Stock</w:t>
      </w:r>
      <w:r>
        <w:rPr/>
        <w:t>”</w:t>
      </w:r>
      <w:r>
        <w:rPr>
          <w:sz w:val="20"/>
        </w:rPr>
        <w:t>), (ii) shares (the “</w:t>
      </w:r>
      <w:r>
        <w:rPr>
          <w:sz w:val="20"/>
          <w:u w:val="single"/>
        </w:rPr>
        <w:t>Preferred Shares</w:t>
      </w:r>
      <w:r>
        <w:rPr/>
        <w:t>”</w:t>
      </w:r>
      <w:r>
        <w:rPr>
          <w:sz w:val="20"/>
        </w:rPr>
        <w:t>) of the Company’s preferred stock, $0.01 par value (“</w:t>
      </w:r>
      <w:r>
        <w:rPr>
          <w:sz w:val="20"/>
          <w:u w:val="single"/>
        </w:rPr>
        <w:t>Preferred Stock</w:t>
      </w:r>
      <w:r>
        <w:rPr/>
        <w:t>”</w:t>
      </w:r>
      <w:r>
        <w:rPr>
          <w:sz w:val="20"/>
        </w:rPr>
        <w:t>), (iii) rights to purchase Common Stock (the “</w:t>
      </w:r>
      <w:r>
        <w:rPr>
          <w:sz w:val="20"/>
          <w:u w:val="single"/>
        </w:rPr>
        <w:t>Rights</w:t>
      </w:r>
      <w:r>
        <w:rPr/>
        <w:t>”</w:t>
      </w:r>
      <w:r>
        <w:rPr>
          <w:sz w:val="20"/>
        </w:rPr>
        <w:t>), (iv) warrants to purchase Common Stock, Preferred Stock or debt securities of the Company (the “</w:t>
      </w:r>
      <w:r>
        <w:rPr>
          <w:sz w:val="20"/>
          <w:u w:val="single"/>
        </w:rPr>
        <w:t>Warrants</w:t>
      </w:r>
      <w:r>
        <w:rPr/>
        <w:t>”</w:t>
      </w:r>
      <w:r>
        <w:rPr>
          <w:sz w:val="20"/>
        </w:rPr>
        <w:t>), (v) unsecured debt securities of the Company (“</w:t>
      </w:r>
      <w:r>
        <w:rPr>
          <w:sz w:val="20"/>
          <w:u w:val="single"/>
        </w:rPr>
        <w:t>Debt Securities</w:t>
      </w:r>
      <w:r>
        <w:rPr/>
        <w:t>”</w:t>
      </w:r>
      <w:r>
        <w:rPr>
          <w:sz w:val="20"/>
        </w:rPr>
        <w:t>), and (vi) units of securities of the Company composed of any combination of Common Shares, Preferred Shares, Rights, Warrants, Debt Securities (the “</w:t>
      </w:r>
      <w:r>
        <w:rPr>
          <w:sz w:val="20"/>
          <w:u w:val="single"/>
        </w:rPr>
        <w:t>Company Units</w:t>
      </w:r>
      <w:r>
        <w:rPr/>
        <w:t xml:space="preserve">” </w:t>
      </w:r>
      <w:r>
        <w:rPr>
          <w:sz w:val="20"/>
        </w:rPr>
        <w:t>and, together with the Common Shares, Preferred Shares, Rights, Warrants, and Debt Securities, the “</w:t>
      </w:r>
      <w:r>
        <w:rPr>
          <w:sz w:val="20"/>
          <w:u w:val="single"/>
        </w:rPr>
        <w:t>Securities</w:t>
      </w:r>
      <w:r>
        <w:rPr/>
        <w:t>”</w:t>
      </w:r>
      <w:r>
        <w:rPr>
          <w:sz w:val="20"/>
        </w:rPr>
        <w:t>), all of which Securities may be offered and sold by the Company from time to time as set forth in the prospectus that forms a part of the Registration Statement (the “</w:t>
      </w:r>
      <w:r>
        <w:rPr>
          <w:sz w:val="20"/>
          <w:u w:val="single"/>
        </w:rPr>
        <w:t>Prospectus</w:t>
      </w:r>
      <w:r>
        <w:rPr/>
        <w:t>”</w:t>
      </w:r>
      <w:r>
        <w:rPr>
          <w:sz w:val="20"/>
        </w:rPr>
        <w:t>), and as to be set forth in one or more supplements to the Prospectus (each, a “</w:t>
      </w:r>
      <w:r>
        <w:rPr>
          <w:sz w:val="20"/>
          <w:u w:val="single"/>
        </w:rPr>
        <w:t>Prospectus Supplement</w:t>
      </w:r>
      <w:r>
        <w:rPr/>
        <w:t>”</w:t>
      </w:r>
      <w:r>
        <w:rPr>
          <w:sz w:val="20"/>
        </w:rPr>
        <w:t>). Capitalized terms used but not defined herein shall have the meanings given such terms in the Registration Statement.</w:t>
      </w:r>
      <w:r>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pPr>
      <w:r>
        <w:rPr>
          <w:color w:val="000000"/>
          <w:sz w:val="20"/>
        </w:rPr>
        <w:t>The Prospectus, along with one or more Prospectus Supplements, will be furnished to potential purchasers of the Securities to be offered for sale by the Company. W</w:t>
      </w:r>
      <w:r>
        <w:rPr>
          <w:sz w:val="20"/>
        </w:rPr>
        <w:t>e understand that our opinion is required to be filed as an exhibit to the Registration Statement.</w:t>
      </w: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sz w:val="20"/>
        </w:rPr>
        <w:t>Chicago Atlantic BDC, Inc.</w:t>
      </w:r>
      <w:r>
        <w:rPr/>
        <w:t xml:space="preserve"> </w:t>
      </w:r>
    </w:p>
    <w:p>
      <w:pPr>
        <w:pStyle w:val="TextBody"/>
        <w:bidi w:val="0"/>
        <w:spacing w:before="0" w:after="0"/>
        <w:jc w:val="left"/>
        <w:rPr/>
      </w:pPr>
      <w:r>
        <w:rPr>
          <w:sz w:val="20"/>
        </w:rPr>
        <w:t>September 28, 2026</w:t>
      </w:r>
      <w:r>
        <w:rPr/>
        <w:t xml:space="preserve"> </w:t>
      </w:r>
    </w:p>
    <w:p>
      <w:pPr>
        <w:pStyle w:val="TextBody"/>
        <w:bidi w:val="0"/>
        <w:spacing w:before="0" w:after="0"/>
        <w:jc w:val="left"/>
        <w:rPr/>
      </w:pPr>
      <w:r>
        <w:rPr>
          <w:sz w:val="20"/>
        </w:rPr>
        <w:t>Page 2</w:t>
      </w:r>
      <w:r>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pPr>
      <w:r>
        <w:rPr>
          <w:sz w:val="20"/>
        </w:rPr>
        <w:t>In our capacity as special Maryland counsel to the Company and for purposes of this opinion, we have reviewed the originals, or copies certified or otherwise identified to our satisfaction, of the following documents:</w:t>
      </w:r>
      <w:r>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pPr>
      <w:r>
        <w:rPr>
          <w:sz w:val="20"/>
        </w:rPr>
        <w:t>the charter of the Company, certified on the date hereof as being a true, correct, and complete copy thereof by the Secretary of the Company (the “</w:t>
      </w:r>
      <w:r>
        <w:rPr>
          <w:sz w:val="20"/>
          <w:u w:val="single"/>
        </w:rPr>
        <w:t>Charter Documents</w:t>
      </w:r>
      <w:r>
        <w:rPr/>
        <w:t>”</w:t>
      </w:r>
      <w:r>
        <w:rPr>
          <w:sz w:val="20"/>
        </w:rPr>
        <w:t>);</w:t>
      </w:r>
      <w:r>
        <w:rPr/>
        <w:t xml:space="preserve"> </w:t>
      </w:r>
      <w:r>
        <mc:AlternateContent>
          <mc:Choice Requires="wps">
            <w:drawing>
              <wp:anchor behindDoc="0" distT="0" distB="0" distL="0" distR="0" simplePos="0" locked="0" layoutInCell="1" allowOverlap="1" relativeHeight="68">
                <wp:simplePos x="0" y="0"/>
                <wp:positionH relativeFrom="column">
                  <wp:align>left</wp:align>
                </wp:positionH>
                <wp:positionV relativeFrom="line">
                  <wp:posOffset>635</wp:posOffset>
                </wp:positionV>
                <wp:extent cx="457200" cy="175260"/>
                <wp:effectExtent l="0" t="0" r="0" b="0"/>
                <wp:wrapSquare wrapText="right"/>
                <wp:docPr id="67" name="Frame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A.</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A.</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sz w:val="20"/>
        </w:rPr>
        <w:t>the bylaws of the Company, as amended and restated to date, certified on the date hereof as being a true, correct, and complete copy thereof by the Secretary of the Company (the “</w:t>
      </w:r>
      <w:r>
        <w:rPr>
          <w:sz w:val="20"/>
          <w:u w:val="single"/>
        </w:rPr>
        <w:t>Bylaws</w:t>
      </w:r>
      <w:r>
        <w:rPr/>
        <w:t>”</w:t>
      </w:r>
      <w:r>
        <w:rPr>
          <w:sz w:val="20"/>
        </w:rPr>
        <w:t>);</w:t>
      </w:r>
      <w:r>
        <w:rPr/>
        <w:t xml:space="preserve"> </w:t>
      </w:r>
      <w:r>
        <mc:AlternateContent>
          <mc:Choice Requires="wps">
            <w:drawing>
              <wp:anchor behindDoc="0" distT="0" distB="0" distL="0" distR="0" simplePos="0" locked="0" layoutInCell="1" allowOverlap="1" relativeHeight="69">
                <wp:simplePos x="0" y="0"/>
                <wp:positionH relativeFrom="column">
                  <wp:align>left</wp:align>
                </wp:positionH>
                <wp:positionV relativeFrom="line">
                  <wp:posOffset>635</wp:posOffset>
                </wp:positionV>
                <wp:extent cx="457200" cy="175260"/>
                <wp:effectExtent l="0" t="0" r="0" b="0"/>
                <wp:wrapSquare wrapText="right"/>
                <wp:docPr id="68" name="Frame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B.</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B.</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sz w:val="20"/>
        </w:rPr>
        <w:t>the Registration Statement and Prospectus in the form transmitted to the SEC on August 24, 2026;</w:t>
      </w:r>
      <w:r>
        <w:rPr/>
        <w:t xml:space="preserve"> </w:t>
      </w:r>
      <w:r>
        <mc:AlternateContent>
          <mc:Choice Requires="wps">
            <w:drawing>
              <wp:anchor behindDoc="0" distT="0" distB="0" distL="0" distR="0" simplePos="0" locked="0" layoutInCell="1" allowOverlap="1" relativeHeight="70">
                <wp:simplePos x="0" y="0"/>
                <wp:positionH relativeFrom="column">
                  <wp:align>left</wp:align>
                </wp:positionH>
                <wp:positionV relativeFrom="line">
                  <wp:posOffset>635</wp:posOffset>
                </wp:positionV>
                <wp:extent cx="457200" cy="175260"/>
                <wp:effectExtent l="0" t="0" r="0" b="0"/>
                <wp:wrapSquare wrapText="right"/>
                <wp:docPr id="69" name="Frame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C.</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C.</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sz w:val="20"/>
        </w:rPr>
        <w:t>resolutions of the Board of Directors of the Company regarding certain matters addressed in this opinion, certified on the date hereof as being a true, correct, and complete copy thereof by the Secretary of the Company (the “</w:t>
      </w:r>
      <w:r>
        <w:rPr>
          <w:sz w:val="20"/>
          <w:u w:val="single"/>
        </w:rPr>
        <w:t>Resolutions</w:t>
      </w:r>
      <w:r>
        <w:rPr/>
        <w:t>”</w:t>
      </w:r>
      <w:r>
        <w:rPr>
          <w:sz w:val="20"/>
        </w:rPr>
        <w:t>);</w:t>
      </w:r>
      <w:r>
        <w:rPr/>
        <w:t xml:space="preserve"> </w:t>
      </w:r>
      <w:r>
        <mc:AlternateContent>
          <mc:Choice Requires="wps">
            <w:drawing>
              <wp:anchor behindDoc="0" distT="0" distB="0" distL="0" distR="0" simplePos="0" locked="0" layoutInCell="1" allowOverlap="1" relativeHeight="71">
                <wp:simplePos x="0" y="0"/>
                <wp:positionH relativeFrom="column">
                  <wp:align>left</wp:align>
                </wp:positionH>
                <wp:positionV relativeFrom="line">
                  <wp:posOffset>635</wp:posOffset>
                </wp:positionV>
                <wp:extent cx="457200" cy="175260"/>
                <wp:effectExtent l="0" t="0" r="0" b="0"/>
                <wp:wrapSquare wrapText="right"/>
                <wp:docPr id="70" name="Frame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D.</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D.</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sz w:val="20"/>
        </w:rPr>
        <w:t>a certificate of the Maryland State Department of Assessments and Taxation (“</w:t>
      </w:r>
      <w:r>
        <w:rPr>
          <w:sz w:val="20"/>
          <w:u w:val="single"/>
        </w:rPr>
        <w:t>SDAT</w:t>
      </w:r>
      <w:r>
        <w:rPr/>
        <w:t>”</w:t>
      </w:r>
      <w:r>
        <w:rPr>
          <w:sz w:val="20"/>
        </w:rPr>
        <w:t>) dated September 21, 2026 to the effect that the Company is duly incorporated and existing under the laws of the State of Maryland and is in good standing and duly authorized to transact business in the State of Maryland (the “</w:t>
      </w:r>
      <w:r>
        <w:rPr>
          <w:sz w:val="20"/>
          <w:u w:val="single"/>
        </w:rPr>
        <w:t>Good Standing Certificate</w:t>
      </w:r>
      <w:r>
        <w:rPr/>
        <w:t>”</w:t>
      </w:r>
      <w:r>
        <w:rPr>
          <w:sz w:val="20"/>
        </w:rPr>
        <w:t>);</w:t>
      </w:r>
      <w:r>
        <w:rPr/>
        <w:t xml:space="preserve"> </w:t>
      </w:r>
      <w:r>
        <mc:AlternateContent>
          <mc:Choice Requires="wps">
            <w:drawing>
              <wp:anchor behindDoc="0" distT="0" distB="0" distL="0" distR="0" simplePos="0" locked="0" layoutInCell="1" allowOverlap="1" relativeHeight="72">
                <wp:simplePos x="0" y="0"/>
                <wp:positionH relativeFrom="column">
                  <wp:align>left</wp:align>
                </wp:positionH>
                <wp:positionV relativeFrom="line">
                  <wp:posOffset>635</wp:posOffset>
                </wp:positionV>
                <wp:extent cx="457200" cy="175260"/>
                <wp:effectExtent l="0" t="0" r="0" b="0"/>
                <wp:wrapSquare wrapText="right"/>
                <wp:docPr id="71" name="Frame7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E.</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E.</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sz w:val="20"/>
        </w:rPr>
        <w:t>a certificate executed by the Secretary of the Company, dated as of the date hereof, regarding certain matters related to the Charter, the Bylaws and the Resolutions and certain other factual matters (the “</w:t>
      </w:r>
      <w:r>
        <w:rPr>
          <w:sz w:val="20"/>
          <w:u w:val="single"/>
        </w:rPr>
        <w:t>Certificate</w:t>
      </w:r>
      <w:r>
        <w:rPr/>
        <w:t>”</w:t>
      </w:r>
      <w:r>
        <w:rPr>
          <w:sz w:val="20"/>
        </w:rPr>
        <w:t>); and</w:t>
      </w:r>
      <w:r>
        <w:rPr/>
        <w:t xml:space="preserve"> </w:t>
      </w:r>
      <w:r>
        <mc:AlternateContent>
          <mc:Choice Requires="wps">
            <w:drawing>
              <wp:anchor behindDoc="0" distT="0" distB="0" distL="0" distR="0" simplePos="0" locked="0" layoutInCell="1" allowOverlap="1" relativeHeight="73">
                <wp:simplePos x="0" y="0"/>
                <wp:positionH relativeFrom="column">
                  <wp:align>left</wp:align>
                </wp:positionH>
                <wp:positionV relativeFrom="line">
                  <wp:posOffset>635</wp:posOffset>
                </wp:positionV>
                <wp:extent cx="457200" cy="175260"/>
                <wp:effectExtent l="0" t="0" r="0" b="0"/>
                <wp:wrapSquare wrapText="right"/>
                <wp:docPr id="72" name="Frame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F.</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F.</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sz w:val="20"/>
        </w:rPr>
        <w:t>such other documents, corporate records, and instruments as we have deemed necessary or appropriate, in our professional judgment, in connection with providing this opinion letter, subject to the limitations, assumptions, and qualifications contained herein.</w:t>
      </w:r>
      <w:r>
        <w:rPr/>
        <w:t xml:space="preserve"> </w:t>
      </w:r>
      <w:r>
        <mc:AlternateContent>
          <mc:Choice Requires="wps">
            <w:drawing>
              <wp:anchor behindDoc="0" distT="0" distB="0" distL="0" distR="0" simplePos="0" locked="0" layoutInCell="1" allowOverlap="1" relativeHeight="74">
                <wp:simplePos x="0" y="0"/>
                <wp:positionH relativeFrom="column">
                  <wp:align>left</wp:align>
                </wp:positionH>
                <wp:positionV relativeFrom="line">
                  <wp:posOffset>635</wp:posOffset>
                </wp:positionV>
                <wp:extent cx="457200" cy="175260"/>
                <wp:effectExtent l="0" t="0" r="0" b="0"/>
                <wp:wrapSquare wrapText="right"/>
                <wp:docPr id="73" name="Frame7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G.</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G.</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sz w:val="20"/>
        </w:rPr>
        <w:t>In rendering the opinions set forth below, we have assumed, without independent investigation or inquiry:</w:t>
      </w:r>
      <w:r>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color w:val="000000"/>
          <w:sz w:val="32"/>
        </w:rPr>
      </w:pPr>
      <w:r>
        <w:rPr>
          <w:color w:val="000000"/>
          <w:sz w:val="20"/>
        </w:rPr>
        <w:t>the genuineness of all signatures and the legal capacity of all individuals who have executed any of the documents we have reviewed;</w:t>
      </w:r>
      <w:r>
        <w:rPr>
          <w:color w:val="000000"/>
          <w:sz w:val="32"/>
        </w:rPr>
        <w:t xml:space="preserve"> </w:t>
      </w:r>
      <w:r>
        <mc:AlternateContent>
          <mc:Choice Requires="wps">
            <w:drawing>
              <wp:anchor behindDoc="0" distT="0" distB="0" distL="0" distR="0" simplePos="0" locked="0" layoutInCell="1" allowOverlap="1" relativeHeight="75">
                <wp:simplePos x="0" y="0"/>
                <wp:positionH relativeFrom="column">
                  <wp:align>left</wp:align>
                </wp:positionH>
                <wp:positionV relativeFrom="line">
                  <wp:posOffset>635</wp:posOffset>
                </wp:positionV>
                <wp:extent cx="457200" cy="175260"/>
                <wp:effectExtent l="0" t="0" r="0" b="0"/>
                <wp:wrapSquare wrapText="right"/>
                <wp:docPr id="74" name="Frame7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A.</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A.</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both"/>
        <w:rPr>
          <w:color w:val="000000"/>
          <w:sz w:val="32"/>
        </w:rPr>
      </w:pPr>
      <w:r>
        <w:rPr>
          <w:color w:val="000000"/>
          <w:sz w:val="20"/>
        </w:rPr>
        <w:t>the authenticity of all documents submitted to us as originals, the conformity with originals of all documents submitted to us as certified, photostatic, or facsimile copies or portable document file (“pdf”) or other electronic image format copies (and the authenticity of the originals of such copies), and that the form and content of all documents submitted to us as unexecuted drafts do not differ in any respect relevant to this opinion from the form and content of such documents as executed and delivered;</w:t>
      </w:r>
      <w:r>
        <w:rPr>
          <w:color w:val="000000"/>
          <w:sz w:val="32"/>
        </w:rPr>
        <w:t xml:space="preserve"> </w:t>
      </w:r>
      <w:r>
        <mc:AlternateContent>
          <mc:Choice Requires="wps">
            <w:drawing>
              <wp:anchor behindDoc="0" distT="0" distB="0" distL="0" distR="0" simplePos="0" locked="0" layoutInCell="1" allowOverlap="1" relativeHeight="76">
                <wp:simplePos x="0" y="0"/>
                <wp:positionH relativeFrom="column">
                  <wp:align>left</wp:align>
                </wp:positionH>
                <wp:positionV relativeFrom="line">
                  <wp:posOffset>635</wp:posOffset>
                </wp:positionV>
                <wp:extent cx="457200" cy="175260"/>
                <wp:effectExtent l="0" t="0" r="0" b="0"/>
                <wp:wrapSquare wrapText="right"/>
                <wp:docPr id="75" name="Frame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B.</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B.</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sz w:val="20"/>
        </w:rPr>
        <w:t>Chicago Atlantic BDC, Inc.</w:t>
      </w:r>
      <w:r>
        <w:rPr/>
        <w:t xml:space="preserve"> </w:t>
      </w:r>
    </w:p>
    <w:p>
      <w:pPr>
        <w:pStyle w:val="TextBody"/>
        <w:bidi w:val="0"/>
        <w:spacing w:before="0" w:after="0"/>
        <w:jc w:val="left"/>
        <w:rPr/>
      </w:pPr>
      <w:r>
        <w:rPr>
          <w:sz w:val="20"/>
        </w:rPr>
        <w:t>September 28, 2026</w:t>
      </w:r>
      <w:r>
        <w:rPr/>
        <w:t xml:space="preserve"> </w:t>
      </w:r>
    </w:p>
    <w:p>
      <w:pPr>
        <w:pStyle w:val="TextBody"/>
        <w:bidi w:val="0"/>
        <w:spacing w:before="0" w:after="0"/>
        <w:jc w:val="left"/>
        <w:rPr/>
      </w:pPr>
      <w:r>
        <w:rPr>
          <w:sz w:val="20"/>
        </w:rPr>
        <w:t>Page 3</w:t>
      </w:r>
      <w:r>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pPr>
      <w:r>
        <w:rPr>
          <w:sz w:val="20"/>
        </w:rPr>
        <w:t>that there has been no oral or written modification of or amendment to any of the documents we have reviewed, and that there has been no waiver of any provision of any of the documents we have reviewed, in connection with this opinion, by action or omission of the parties or otherwise;</w:t>
      </w:r>
      <w:r>
        <w:rPr/>
        <w:t xml:space="preserve"> </w:t>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457200" cy="175260"/>
                <wp:effectExtent l="0" t="0" r="0" b="0"/>
                <wp:wrapSquare wrapText="right"/>
                <wp:docPr id="76" name="Frame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C.</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C.</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sz w:val="20"/>
        </w:rPr>
        <w:t>that all documents submitted to us and public records we have reviewed or relied upon are accurate and complete;</w:t>
      </w:r>
      <w:r>
        <w:rPr/>
        <w:t xml:space="preserve"> </w:t>
      </w:r>
      <w:r>
        <mc:AlternateContent>
          <mc:Choice Requires="wps">
            <w:drawing>
              <wp:anchor behindDoc="0" distT="0" distB="0" distL="0" distR="0" simplePos="0" locked="0" layoutInCell="1" allowOverlap="1" relativeHeight="78">
                <wp:simplePos x="0" y="0"/>
                <wp:positionH relativeFrom="column">
                  <wp:align>left</wp:align>
                </wp:positionH>
                <wp:positionV relativeFrom="line">
                  <wp:posOffset>635</wp:posOffset>
                </wp:positionV>
                <wp:extent cx="457200" cy="175260"/>
                <wp:effectExtent l="0" t="0" r="0" b="0"/>
                <wp:wrapSquare wrapText="right"/>
                <wp:docPr id="77" name="Frame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D.</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D.</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sz w:val="20"/>
        </w:rPr>
        <w:t>that the Charter Documents, the Bylaws, and the Resolutions have not been amended or rescinded, and will be in full force and effect at all times at which any Securities, including any Securities into which a Security may be converted into, are offered, sold or issued by the Company;</w:t>
      </w:r>
      <w:r>
        <w:rPr/>
        <w:t xml:space="preserve"> </w:t>
      </w:r>
      <w:r>
        <mc:AlternateContent>
          <mc:Choice Requires="wps">
            <w:drawing>
              <wp:anchor behindDoc="0" distT="0" distB="0" distL="0" distR="0" simplePos="0" locked="0" layoutInCell="1" allowOverlap="1" relativeHeight="79">
                <wp:simplePos x="0" y="0"/>
                <wp:positionH relativeFrom="column">
                  <wp:align>left</wp:align>
                </wp:positionH>
                <wp:positionV relativeFrom="line">
                  <wp:posOffset>635</wp:posOffset>
                </wp:positionV>
                <wp:extent cx="457200" cy="175260"/>
                <wp:effectExtent l="0" t="0" r="0" b="0"/>
                <wp:wrapSquare wrapText="right"/>
                <wp:docPr id="78" name="Frame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E.</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E.</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sz w:val="20"/>
        </w:rPr>
        <w:t>that the persons identified as officers of the Company are actually serving as such and that any certificates representing the Securities will be properly executed by one or more such persons;</w:t>
      </w:r>
      <w:r>
        <w:rPr/>
        <w:t xml:space="preserve"> </w:t>
      </w:r>
      <w:r>
        <mc:AlternateContent>
          <mc:Choice Requires="wps">
            <w:drawing>
              <wp:anchor behindDoc="0" distT="0" distB="0" distL="0" distR="0" simplePos="0" locked="0" layoutInCell="1" allowOverlap="1" relativeHeight="80">
                <wp:simplePos x="0" y="0"/>
                <wp:positionH relativeFrom="column">
                  <wp:align>left</wp:align>
                </wp:positionH>
                <wp:positionV relativeFrom="line">
                  <wp:posOffset>635</wp:posOffset>
                </wp:positionV>
                <wp:extent cx="457200" cy="175260"/>
                <wp:effectExtent l="0" t="0" r="0" b="0"/>
                <wp:wrapSquare wrapText="right"/>
                <wp:docPr id="79" name="Frame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F.</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F.</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sz w:val="20"/>
        </w:rPr>
        <w:t xml:space="preserve">that </w:t>
      </w:r>
      <w:r>
        <w:rPr>
          <w:color w:val="000000"/>
          <w:sz w:val="20"/>
        </w:rPr>
        <w:t>a</w:t>
      </w:r>
      <w:r>
        <w:rPr>
          <w:sz w:val="20"/>
        </w:rPr>
        <w:t>t the time of the issuance of any Common Shares or Preferred Shares, the Company or its transfer agent will record in the Company’s stock ledger the name(s) of the persons to whom such shares are issued;</w:t>
      </w:r>
      <w:r>
        <w:rPr/>
        <w:t xml:space="preserve"> </w:t>
      </w:r>
      <w:r>
        <mc:AlternateContent>
          <mc:Choice Requires="wps">
            <w:drawing>
              <wp:anchor behindDoc="0" distT="0" distB="0" distL="0" distR="0" simplePos="0" locked="0" layoutInCell="1" allowOverlap="1" relativeHeight="81">
                <wp:simplePos x="0" y="0"/>
                <wp:positionH relativeFrom="column">
                  <wp:align>left</wp:align>
                </wp:positionH>
                <wp:positionV relativeFrom="line">
                  <wp:posOffset>635</wp:posOffset>
                </wp:positionV>
                <wp:extent cx="457200" cy="175260"/>
                <wp:effectExtent l="0" t="0" r="0" b="0"/>
                <wp:wrapSquare wrapText="right"/>
                <wp:docPr id="80" name="Frame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G.</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G.</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sz w:val="20"/>
        </w:rPr>
        <w:t>that certificates representing the Shares will not be delivered;</w:t>
      </w:r>
      <w:r>
        <w:rPr/>
        <w:t xml:space="preserve"> </w:t>
      </w:r>
      <w:r>
        <mc:AlternateContent>
          <mc:Choice Requires="wps">
            <w:drawing>
              <wp:anchor behindDoc="0" distT="0" distB="0" distL="0" distR="0" simplePos="0" locked="0" layoutInCell="1" allowOverlap="1" relativeHeight="82">
                <wp:simplePos x="0" y="0"/>
                <wp:positionH relativeFrom="column">
                  <wp:align>left</wp:align>
                </wp:positionH>
                <wp:positionV relativeFrom="line">
                  <wp:posOffset>635</wp:posOffset>
                </wp:positionV>
                <wp:extent cx="457200" cy="175260"/>
                <wp:effectExtent l="0" t="0" r="0" b="0"/>
                <wp:wrapSquare wrapText="right"/>
                <wp:docPr id="81" name="Frame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H.</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H.</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sz w:val="20"/>
        </w:rPr>
        <w:t>that as to all acts undertaken by any governmental authority, and of those persons purporting to act in any governmental capacity, that the persons acting on behalf of the governmental authority have the power and authority to do so, and that all actions taken by such persons on behalf of such governmental authority are valid, legal, and sufficient;</w:t>
      </w:r>
      <w:r>
        <w:rPr/>
        <w:t xml:space="preserve"> </w:t>
      </w:r>
      <w:r>
        <mc:AlternateContent>
          <mc:Choice Requires="wps">
            <w:drawing>
              <wp:anchor behindDoc="0" distT="0" distB="0" distL="0" distR="0" simplePos="0" locked="0" layoutInCell="1" allowOverlap="1" relativeHeight="83">
                <wp:simplePos x="0" y="0"/>
                <wp:positionH relativeFrom="column">
                  <wp:align>left</wp:align>
                </wp:positionH>
                <wp:positionV relativeFrom="line">
                  <wp:posOffset>635</wp:posOffset>
                </wp:positionV>
                <wp:extent cx="457200" cy="175260"/>
                <wp:effectExtent l="0" t="0" r="0" b="0"/>
                <wp:wrapSquare wrapText="right"/>
                <wp:docPr id="82" name="Frame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I.</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I.</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sz w:val="20"/>
        </w:rPr>
        <w:t>that all representations, warranties, certifications, and statements with respect to matters of fact and other factual information (i) made by public officers, (ii) made by officers or representatives of the Company, including certifications made in the Certificate, and (iii) made or contained in any documents we have reviewed, are accurate, true, correct, and complete in all material respects;</w:t>
      </w:r>
      <w:r>
        <w:rPr/>
        <w:t xml:space="preserve"> </w:t>
      </w:r>
      <w:r>
        <mc:AlternateContent>
          <mc:Choice Requires="wps">
            <w:drawing>
              <wp:anchor behindDoc="0" distT="0" distB="0" distL="0" distR="0" simplePos="0" locked="0" layoutInCell="1" allowOverlap="1" relativeHeight="84">
                <wp:simplePos x="0" y="0"/>
                <wp:positionH relativeFrom="column">
                  <wp:align>left</wp:align>
                </wp:positionH>
                <wp:positionV relativeFrom="line">
                  <wp:posOffset>635</wp:posOffset>
                </wp:positionV>
                <wp:extent cx="457200" cy="175260"/>
                <wp:effectExtent l="0" t="0" r="0" b="0"/>
                <wp:wrapSquare wrapText="right"/>
                <wp:docPr id="83" name="Frame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J.</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J.</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sz w:val="20"/>
        </w:rPr>
        <w:t>that the issuance, and certain terms, of the Securities to be issued by the Company from time to time will be authorized and approved by the Board of Directors of the Company, or a duly authorized committee thereof, in accordance with the Maryland General Corporation Law, the Charter Documents, and the Bylaws and, with respect to Preferred Shares, articles supplementary setting forth the number of shares and the terms of any class or series of Preferred Stock to be issued by the Company will comply with the Maryland General Corporation Law and be filed with and accepted for record by SDAT prior to their issuance (such approval and, if applicable, acceptance for record, are referred to herein as the “</w:t>
      </w:r>
      <w:r>
        <w:rPr>
          <w:sz w:val="20"/>
          <w:u w:val="single"/>
        </w:rPr>
        <w:t>Corporate Proceedings</w:t>
      </w:r>
      <w:r>
        <w:rPr/>
        <w:t>”</w:t>
      </w:r>
      <w:r>
        <w:rPr>
          <w:sz w:val="20"/>
        </w:rPr>
        <w:t>);</w:t>
      </w:r>
      <w:r>
        <w:rPr/>
        <w:t xml:space="preserve"> </w:t>
      </w:r>
      <w:r>
        <mc:AlternateContent>
          <mc:Choice Requires="wps">
            <w:drawing>
              <wp:anchor behindDoc="0" distT="0" distB="0" distL="0" distR="0" simplePos="0" locked="0" layoutInCell="1" allowOverlap="1" relativeHeight="85">
                <wp:simplePos x="0" y="0"/>
                <wp:positionH relativeFrom="column">
                  <wp:align>left</wp:align>
                </wp:positionH>
                <wp:positionV relativeFrom="line">
                  <wp:posOffset>635</wp:posOffset>
                </wp:positionV>
                <wp:extent cx="457200" cy="175260"/>
                <wp:effectExtent l="0" t="0" r="0" b="0"/>
                <wp:wrapSquare wrapText="right"/>
                <wp:docPr id="84" name="Frame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K.</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K.</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sz w:val="20"/>
        </w:rPr>
        <w:t>Chicago Atlantic BDC, Inc.</w:t>
      </w:r>
      <w:r>
        <w:rPr/>
        <w:t xml:space="preserve"> </w:t>
      </w:r>
    </w:p>
    <w:p>
      <w:pPr>
        <w:pStyle w:val="TextBody"/>
        <w:bidi w:val="0"/>
        <w:spacing w:before="0" w:after="0"/>
        <w:jc w:val="left"/>
        <w:rPr/>
      </w:pPr>
      <w:r>
        <w:rPr>
          <w:sz w:val="20"/>
        </w:rPr>
        <w:t>September 28, 2026</w:t>
      </w:r>
      <w:r>
        <w:rPr/>
        <w:t xml:space="preserve"> </w:t>
      </w:r>
    </w:p>
    <w:p>
      <w:pPr>
        <w:pStyle w:val="TextBody"/>
        <w:bidi w:val="0"/>
        <w:spacing w:before="0" w:after="0"/>
        <w:jc w:val="left"/>
        <w:rPr/>
      </w:pPr>
      <w:r>
        <w:rPr>
          <w:sz w:val="20"/>
        </w:rPr>
        <w:t>Page 4</w:t>
      </w:r>
      <w:r>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pPr>
      <w:r>
        <w:rPr>
          <w:sz w:val="20"/>
        </w:rPr>
        <w:t>that upon the issuance of any Common Shares, including any Common Shares that may be issued upon conversion or exercise of any Securities that are convertible into or exercisable for Common Shares, the total number of shares of Common Stock issued and outstanding will not exceed the total number of shares of Common Stock that the Company is then authorized to issue under the Charter Documents;</w:t>
      </w:r>
      <w:r>
        <w:rPr/>
        <w:t xml:space="preserve"> </w:t>
      </w:r>
      <w:r>
        <mc:AlternateContent>
          <mc:Choice Requires="wps">
            <w:drawing>
              <wp:anchor behindDoc="0" distT="0" distB="0" distL="0" distR="0" simplePos="0" locked="0" layoutInCell="1" allowOverlap="1" relativeHeight="86">
                <wp:simplePos x="0" y="0"/>
                <wp:positionH relativeFrom="column">
                  <wp:align>left</wp:align>
                </wp:positionH>
                <wp:positionV relativeFrom="line">
                  <wp:posOffset>635</wp:posOffset>
                </wp:positionV>
                <wp:extent cx="457200" cy="175260"/>
                <wp:effectExtent l="0" t="0" r="0" b="0"/>
                <wp:wrapSquare wrapText="right"/>
                <wp:docPr id="85" name="Frame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L.</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L.</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sz w:val="20"/>
        </w:rPr>
        <w:t>that upon the issuance of any Preferred Shares, including any Preferred Shares that may be issued upon conversion or exercise of any Securities that are convertible into or exercisable for Preferred Shares, the total number of shares of Preferred Stock issued and outstanding, and the total number of issued and outstanding shares of the applicable class or series of Preferred Stock designated pursuant to the Charter Documents, will not exceed, respectively, the total number of shares, and the number of shares of such class or series, of Preferred Stock that the Company is then authorized to issue under the Charter Documents;</w:t>
      </w:r>
      <w:r>
        <w:rPr/>
        <w:t xml:space="preserve"> </w:t>
      </w:r>
      <w:r>
        <mc:AlternateContent>
          <mc:Choice Requires="wps">
            <w:drawing>
              <wp:anchor behindDoc="0" distT="0" distB="0" distL="0" distR="0" simplePos="0" locked="0" layoutInCell="1" allowOverlap="1" relativeHeight="87">
                <wp:simplePos x="0" y="0"/>
                <wp:positionH relativeFrom="column">
                  <wp:align>left</wp:align>
                </wp:positionH>
                <wp:positionV relativeFrom="line">
                  <wp:posOffset>635</wp:posOffset>
                </wp:positionV>
                <wp:extent cx="457200" cy="175260"/>
                <wp:effectExtent l="0" t="0" r="0" b="0"/>
                <wp:wrapSquare wrapText="right"/>
                <wp:docPr id="86" name="Frame8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M.</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M.</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sz w:val="20"/>
        </w:rPr>
        <w:t>that no Securities will be issued until the Registration Statement has become effective and the Registration Statement will remain effective at the time any Securities are issued, and that a Prospectus Supplement will have been prepared and filed with the SEC describing the Securities offered thereby;</w:t>
      </w:r>
      <w:r>
        <w:rPr/>
        <w:t xml:space="preserve"> </w:t>
      </w:r>
      <w:r>
        <mc:AlternateContent>
          <mc:Choice Requires="wps">
            <w:drawing>
              <wp:anchor behindDoc="0" distT="0" distB="0" distL="0" distR="0" simplePos="0" locked="0" layoutInCell="1" allowOverlap="1" relativeHeight="88">
                <wp:simplePos x="0" y="0"/>
                <wp:positionH relativeFrom="column">
                  <wp:align>left</wp:align>
                </wp:positionH>
                <wp:positionV relativeFrom="line">
                  <wp:posOffset>635</wp:posOffset>
                </wp:positionV>
                <wp:extent cx="457200" cy="175260"/>
                <wp:effectExtent l="0" t="0" r="0" b="0"/>
                <wp:wrapSquare wrapText="right"/>
                <wp:docPr id="87" name="Frame8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N.</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N.</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sz w:val="20"/>
        </w:rPr>
        <w:t>that the Company will be duly organized, validly existing, and in good standing under Maryland law at the time any Securities are issued;</w:t>
      </w:r>
      <w:r>
        <w:rPr/>
        <w:t xml:space="preserve"> </w:t>
      </w:r>
      <w:r>
        <mc:AlternateContent>
          <mc:Choice Requires="wps">
            <w:drawing>
              <wp:anchor behindDoc="0" distT="0" distB="0" distL="0" distR="0" simplePos="0" locked="0" layoutInCell="1" allowOverlap="1" relativeHeight="89">
                <wp:simplePos x="0" y="0"/>
                <wp:positionH relativeFrom="column">
                  <wp:align>left</wp:align>
                </wp:positionH>
                <wp:positionV relativeFrom="line">
                  <wp:posOffset>635</wp:posOffset>
                </wp:positionV>
                <wp:extent cx="457200" cy="175260"/>
                <wp:effectExtent l="0" t="0" r="0" b="0"/>
                <wp:wrapSquare wrapText="right"/>
                <wp:docPr id="88" name="Frame8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O.</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O.</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sz w:val="20"/>
        </w:rPr>
        <w:t>that the aggregate purchase price paid for any Securities, when aggregated with the purchase price paid for other Securities theretofore issued, will not exceed $500,000,000; and</w:t>
      </w:r>
      <w:r>
        <w:rPr/>
        <w:t xml:space="preserve"> </w:t>
      </w:r>
      <w:r>
        <mc:AlternateContent>
          <mc:Choice Requires="wps">
            <w:drawing>
              <wp:anchor behindDoc="0" distT="0" distB="0" distL="0" distR="0" simplePos="0" locked="0" layoutInCell="1" allowOverlap="1" relativeHeight="90">
                <wp:simplePos x="0" y="0"/>
                <wp:positionH relativeFrom="column">
                  <wp:align>left</wp:align>
                </wp:positionH>
                <wp:positionV relativeFrom="line">
                  <wp:posOffset>635</wp:posOffset>
                </wp:positionV>
                <wp:extent cx="457200" cy="175260"/>
                <wp:effectExtent l="0" t="0" r="0" b="0"/>
                <wp:wrapSquare wrapText="right"/>
                <wp:docPr id="89" name="Frame8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P.</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P.</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sz w:val="20"/>
        </w:rPr>
        <w:t>at the time of the issue of the Securities, such securities will not violate any law applicable to the Company or result in a default under or breach of any agreement or instrument then-binding upon the Company, including the Charter Documents and Bylaws, and such Securities will comply with all requirements and restrictions, if any, applicable to the Company, imposed by any court or governmental or regulatory body having jurisdiction over the Company.</w:t>
      </w:r>
      <w:r>
        <w:rPr/>
        <w:t xml:space="preserve"> </w:t>
      </w:r>
      <w:r>
        <mc:AlternateContent>
          <mc:Choice Requires="wps">
            <w:drawing>
              <wp:anchor behindDoc="0" distT="0" distB="0" distL="0" distR="0" simplePos="0" locked="0" layoutInCell="1" allowOverlap="1" relativeHeight="91">
                <wp:simplePos x="0" y="0"/>
                <wp:positionH relativeFrom="column">
                  <wp:align>left</wp:align>
                </wp:positionH>
                <wp:positionV relativeFrom="line">
                  <wp:posOffset>635</wp:posOffset>
                </wp:positionV>
                <wp:extent cx="457200" cy="175260"/>
                <wp:effectExtent l="0" t="0" r="0" b="0"/>
                <wp:wrapSquare wrapText="right"/>
                <wp:docPr id="90" name="Frame8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Q.</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Q.</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sz w:val="20"/>
        </w:rPr>
        <w:t>As to any facts material to our opinion set forth below, without undertaking to verify the same by independent investigation, we have relied exclusively upon the documents we have reviewed, the statements and information set forth in such documents, the Certificate, and the additional matters recited or assumed in this letter, all of which we assume to be true, complete, and accurate in all respects.</w:t>
      </w:r>
      <w:r>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pPr>
      <w:r>
        <w:rPr>
          <w:sz w:val="20"/>
        </w:rPr>
        <w:t>Based upon the foregoing and subject to the limitations, qualifications, and assumptions set forth herein, and having due regard for such legal considerations as we deem relevant, we are of the opinion that:</w:t>
      </w: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sz w:val="20"/>
        </w:rPr>
        <w:t>Chicago Atlantic BDC, Inc.</w:t>
      </w:r>
      <w:r>
        <w:rPr/>
        <w:t xml:space="preserve"> </w:t>
      </w:r>
    </w:p>
    <w:p>
      <w:pPr>
        <w:pStyle w:val="TextBody"/>
        <w:bidi w:val="0"/>
        <w:spacing w:before="0" w:after="0"/>
        <w:jc w:val="left"/>
        <w:rPr/>
      </w:pPr>
      <w:r>
        <w:rPr>
          <w:sz w:val="20"/>
        </w:rPr>
        <w:t>September 28, 2026</w:t>
      </w:r>
      <w:r>
        <w:rPr/>
        <w:t xml:space="preserve"> </w:t>
      </w:r>
    </w:p>
    <w:p>
      <w:pPr>
        <w:pStyle w:val="TextBody"/>
        <w:bidi w:val="0"/>
        <w:spacing w:before="0" w:after="0"/>
        <w:jc w:val="left"/>
        <w:rPr/>
      </w:pPr>
      <w:r>
        <w:rPr>
          <w:sz w:val="20"/>
        </w:rPr>
        <w:t>Page 5</w:t>
      </w:r>
      <w:r>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pPr>
      <w:r>
        <w:rPr>
          <w:sz w:val="20"/>
        </w:rPr>
        <w:t>The Company has been duly incorporated and is validly existing as a corporation under the laws of the State of Maryland and, based solely on the Good Standing Certificate, is in good standing with SDAT as of the date of the Good Standing Certificate.</w:t>
      </w:r>
      <w:r>
        <w:rPr/>
        <w:t xml:space="preserve"> </w:t>
      </w:r>
      <w:r>
        <mc:AlternateContent>
          <mc:Choice Requires="wps">
            <w:drawing>
              <wp:anchor behindDoc="0" distT="0" distB="0" distL="0" distR="0" simplePos="0" locked="0" layoutInCell="1" allowOverlap="1" relativeHeight="92">
                <wp:simplePos x="0" y="0"/>
                <wp:positionH relativeFrom="column">
                  <wp:align>left</wp:align>
                </wp:positionH>
                <wp:positionV relativeFrom="line">
                  <wp:posOffset>635</wp:posOffset>
                </wp:positionV>
                <wp:extent cx="457200" cy="175260"/>
                <wp:effectExtent l="0" t="0" r="0" b="0"/>
                <wp:wrapSquare wrapText="right"/>
                <wp:docPr id="91" name="Frame9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1.</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1.</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sz w:val="20"/>
        </w:rPr>
        <w:t>Upon the completion of all Corporate Proceedings relating to the Common Shares, the issuance of the Common Shares will be duly authorized and, when and if issued and delivered against payment therefor in accordance with the Registration Statement, the Prospectus, any applicable Prospectus Supplement, and the Corporate Proceedings, the Common Shares will be validly issued, fully paid, and nonassessable.</w:t>
      </w:r>
      <w:r>
        <w:rPr/>
        <w:t xml:space="preserve"> </w:t>
      </w:r>
      <w:r>
        <mc:AlternateContent>
          <mc:Choice Requires="wps">
            <w:drawing>
              <wp:anchor behindDoc="0" distT="0" distB="0" distL="0" distR="0" simplePos="0" locked="0" layoutInCell="1" allowOverlap="1" relativeHeight="93">
                <wp:simplePos x="0" y="0"/>
                <wp:positionH relativeFrom="column">
                  <wp:align>left</wp:align>
                </wp:positionH>
                <wp:positionV relativeFrom="line">
                  <wp:posOffset>635</wp:posOffset>
                </wp:positionV>
                <wp:extent cx="457200" cy="175260"/>
                <wp:effectExtent l="0" t="0" r="0" b="0"/>
                <wp:wrapSquare wrapText="right"/>
                <wp:docPr id="92" name="Frame9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2.</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sz w:val="20"/>
        </w:rPr>
        <w:t>Upon the completion of all Corporate Proceedings relating to the Preferred Shares, the issuance of the Preferred Shares will be duly authorized and, when and if issued and delivered against payment therefor in accordance with the Registration Statement, the Prospectus, any applicable Prospectus Supplement, and the Corporate Proceedings, the Preferred Shares will be validly issued, fully paid, and nonassessable.</w:t>
      </w:r>
      <w:r>
        <w:rPr/>
        <w:t xml:space="preserve"> </w:t>
      </w:r>
      <w:r>
        <mc:AlternateContent>
          <mc:Choice Requires="wps">
            <w:drawing>
              <wp:anchor behindDoc="0" distT="0" distB="0" distL="0" distR="0" simplePos="0" locked="0" layoutInCell="1" allowOverlap="1" relativeHeight="94">
                <wp:simplePos x="0" y="0"/>
                <wp:positionH relativeFrom="column">
                  <wp:align>left</wp:align>
                </wp:positionH>
                <wp:positionV relativeFrom="line">
                  <wp:posOffset>635</wp:posOffset>
                </wp:positionV>
                <wp:extent cx="457200" cy="175260"/>
                <wp:effectExtent l="0" t="0" r="0" b="0"/>
                <wp:wrapSquare wrapText="right"/>
                <wp:docPr id="93" name="Frame9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3.</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3.</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sz w:val="20"/>
        </w:rPr>
        <w:t>Upon the completion of all Corporate Proceedings relating to the Debt Securities, the issuance of the Debt Securities will be duly authorized by the Company.</w:t>
      </w:r>
      <w:r>
        <w:rPr/>
        <w:t xml:space="preserve"> </w:t>
      </w:r>
      <w:r>
        <mc:AlternateContent>
          <mc:Choice Requires="wps">
            <w:drawing>
              <wp:anchor behindDoc="0" distT="0" distB="0" distL="0" distR="0" simplePos="0" locked="0" layoutInCell="1" allowOverlap="1" relativeHeight="95">
                <wp:simplePos x="0" y="0"/>
                <wp:positionH relativeFrom="column">
                  <wp:align>left</wp:align>
                </wp:positionH>
                <wp:positionV relativeFrom="line">
                  <wp:posOffset>635</wp:posOffset>
                </wp:positionV>
                <wp:extent cx="457200" cy="175260"/>
                <wp:effectExtent l="0" t="0" r="0" b="0"/>
                <wp:wrapSquare wrapText="right"/>
                <wp:docPr id="94" name="Frame9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4.</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4.</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sz w:val="20"/>
        </w:rPr>
        <w:t>Upon completion of all Corporate Proceedings relating to the Rights, the issuance of the Rights will be duly authorized by the Company.</w:t>
      </w:r>
      <w:r>
        <w:rPr/>
        <w:t xml:space="preserve"> </w:t>
      </w:r>
      <w:r>
        <mc:AlternateContent>
          <mc:Choice Requires="wps">
            <w:drawing>
              <wp:anchor behindDoc="0" distT="0" distB="0" distL="0" distR="0" simplePos="0" locked="0" layoutInCell="1" allowOverlap="1" relativeHeight="96">
                <wp:simplePos x="0" y="0"/>
                <wp:positionH relativeFrom="column">
                  <wp:align>left</wp:align>
                </wp:positionH>
                <wp:positionV relativeFrom="line">
                  <wp:posOffset>635</wp:posOffset>
                </wp:positionV>
                <wp:extent cx="457200" cy="175260"/>
                <wp:effectExtent l="0" t="0" r="0" b="0"/>
                <wp:wrapSquare wrapText="right"/>
                <wp:docPr id="95" name="Frame9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5.</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5.</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sz w:val="20"/>
        </w:rPr>
        <w:t>Upon the completion of all Corporate Proceedings relating to the Warrants, the issuance of the Warrants will be duly authorized by the Company.</w:t>
      </w:r>
      <w:r>
        <w:rPr/>
        <w:t xml:space="preserve"> </w:t>
      </w:r>
      <w:r>
        <mc:AlternateContent>
          <mc:Choice Requires="wps">
            <w:drawing>
              <wp:anchor behindDoc="0" distT="0" distB="0" distL="0" distR="0" simplePos="0" locked="0" layoutInCell="1" allowOverlap="1" relativeHeight="97">
                <wp:simplePos x="0" y="0"/>
                <wp:positionH relativeFrom="column">
                  <wp:align>left</wp:align>
                </wp:positionH>
                <wp:positionV relativeFrom="line">
                  <wp:posOffset>635</wp:posOffset>
                </wp:positionV>
                <wp:extent cx="457200" cy="175260"/>
                <wp:effectExtent l="0" t="0" r="0" b="0"/>
                <wp:wrapSquare wrapText="right"/>
                <wp:docPr id="96" name="Frame9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6.</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6.</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sz w:val="20"/>
        </w:rPr>
        <w:t>Upon the completion of all Corporate Proceedings relating to the Debt Securities, the issuance of the Debt Securities will be duly authorized by the Company.</w:t>
      </w:r>
      <w:r>
        <w:rPr/>
        <w:t xml:space="preserve"> </w:t>
      </w:r>
      <w:r>
        <mc:AlternateContent>
          <mc:Choice Requires="wps">
            <w:drawing>
              <wp:anchor behindDoc="0" distT="0" distB="0" distL="0" distR="0" simplePos="0" locked="0" layoutInCell="1" allowOverlap="1" relativeHeight="98">
                <wp:simplePos x="0" y="0"/>
                <wp:positionH relativeFrom="column">
                  <wp:align>left</wp:align>
                </wp:positionH>
                <wp:positionV relativeFrom="line">
                  <wp:posOffset>635</wp:posOffset>
                </wp:positionV>
                <wp:extent cx="457200" cy="175260"/>
                <wp:effectExtent l="0" t="0" r="0" b="0"/>
                <wp:wrapSquare wrapText="right"/>
                <wp:docPr id="97" name="Frame9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7.</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7.</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sz w:val="20"/>
        </w:rPr>
        <w:t>Upon the completion of all Corporate Proceedings relating to the Securities that are Company Units, the issuance of the Company Units will be duly authorized by the Company.</w:t>
      </w:r>
      <w:r>
        <w:rPr/>
        <w:t xml:space="preserve"> </w:t>
      </w:r>
      <w:r>
        <mc:AlternateContent>
          <mc:Choice Requires="wps">
            <w:drawing>
              <wp:anchor behindDoc="0" distT="0" distB="0" distL="0" distR="0" simplePos="0" locked="0" layoutInCell="1" allowOverlap="1" relativeHeight="99">
                <wp:simplePos x="0" y="0"/>
                <wp:positionH relativeFrom="column">
                  <wp:align>left</wp:align>
                </wp:positionH>
                <wp:positionV relativeFrom="line">
                  <wp:posOffset>635</wp:posOffset>
                </wp:positionV>
                <wp:extent cx="457200" cy="175260"/>
                <wp:effectExtent l="0" t="0" r="0" b="0"/>
                <wp:wrapSquare wrapText="right"/>
                <wp:docPr id="98" name="Frame9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8.</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8.</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sz w:val="20"/>
        </w:rPr>
        <w:t>The foregoing opinions are based on and are limited to the Maryland General Corporation Law (including the reported judicial decisions interpreting those laws currently in effect), and we express no opinion herein with respect to the effect or applicability of any other laws or the laws of any other jurisdiction, including with respect to compliance with the 1940 Act or other federal securities laws. The opinions expressed herein concern only the effect of the laws (excluding the principles of conflict of laws) as currently in effect, and we assume no obligation to supplement the opinions expressed herein if any applicable laws change after the date hereof, or if we become aware of any facts that might change the opinions expressed herein after the date hereof. The opinions expressed in this letter are limited to the matters set forth herein, and no other opinions should be inferred or implied beyond the matters expressly stated.</w:t>
      </w: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sz w:val="20"/>
        </w:rPr>
        <w:t>Chicago Atlantic BDC, Inc.</w:t>
      </w:r>
      <w:r>
        <w:rPr/>
        <w:t xml:space="preserve"> </w:t>
      </w:r>
    </w:p>
    <w:p>
      <w:pPr>
        <w:pStyle w:val="TextBody"/>
        <w:bidi w:val="0"/>
        <w:spacing w:before="0" w:after="0"/>
        <w:jc w:val="left"/>
        <w:rPr/>
      </w:pPr>
      <w:r>
        <w:rPr>
          <w:sz w:val="20"/>
        </w:rPr>
        <w:t>September 28, 2026</w:t>
      </w:r>
      <w:r>
        <w:rPr/>
        <w:t xml:space="preserve"> </w:t>
      </w:r>
    </w:p>
    <w:p>
      <w:pPr>
        <w:pStyle w:val="TextBody"/>
        <w:bidi w:val="0"/>
        <w:spacing w:before="0" w:after="0"/>
        <w:jc w:val="left"/>
        <w:rPr/>
      </w:pPr>
      <w:r>
        <w:rPr>
          <w:sz w:val="20"/>
        </w:rPr>
        <w:t>Page 6</w:t>
      </w:r>
      <w:r>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pPr>
      <w:r>
        <w:rPr>
          <w:sz w:val="20"/>
        </w:rPr>
        <w:t>Notwithstanding anything to the contrary contained herein, we express no opinion concerning the securities laws of the State of Maryland, or the rules and regulations promulgated thereunder, or any decisional laws interpreting any of the provisions of the securities laws of the State of Maryland, or the rules and regulations promulgated thereunder.</w:t>
      </w:r>
      <w:r>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pPr>
      <w:r>
        <w:rPr>
          <w:sz w:val="20"/>
        </w:rPr>
        <w:t>We hereby consent to the filing of this opinion with the Securities and Exchange Commission as an exhibit to the Registration Statement and to the reference to our firm under the caption “Legal Matters” in the Prospectus. By giving such consent, we do not admit that we are experts with respect to any part of the Registration Statement within the meaning of the term “expert” as used in the Securities Act or the regulations promulgated thereunder.</w:t>
      </w:r>
      <w:r>
        <w:rPr/>
        <w:t xml:space="preserve"> </w:t>
      </w:r>
    </w:p>
    <w:p>
      <w:pPr>
        <w:pStyle w:val="TextBody"/>
        <w:bidi w:val="0"/>
        <w:spacing w:before="0" w:after="0"/>
        <w:jc w:val="both"/>
        <w:rPr/>
      </w:pPr>
      <w:r>
        <w:rPr/>
        <w:t xml:space="preserve">  </w:t>
      </w:r>
    </w:p>
    <w:tbl>
      <w:tblPr>
        <w:tblW w:w="3102" w:type="dxa"/>
        <w:jc w:val="left"/>
        <w:tblInd w:w="0" w:type="dxa"/>
        <w:tblLayout w:type="fixed"/>
        <w:tblCellMar>
          <w:top w:w="28" w:type="dxa"/>
          <w:left w:w="28" w:type="dxa"/>
          <w:bottom w:w="28" w:type="dxa"/>
          <w:right w:w="28" w:type="dxa"/>
        </w:tblCellMar>
      </w:tblPr>
      <w:tblGrid>
        <w:gridCol w:w="221"/>
        <w:gridCol w:w="2881"/>
      </w:tblGrid>
      <w:tr>
        <w:trPr/>
        <w:tc>
          <w:tcPr>
            <w:tcW w:w="22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881" w:type="dxa"/>
            <w:tcBorders/>
            <w:tcMar>
              <w:top w:w="0" w:type="dxa"/>
              <w:left w:w="0" w:type="dxa"/>
              <w:bottom w:w="0" w:type="dxa"/>
              <w:right w:w="0" w:type="dxa"/>
            </w:tcMar>
            <w:vAlign w:val="center"/>
          </w:tcPr>
          <w:p>
            <w:pPr>
              <w:pStyle w:val="TableContents"/>
              <w:bidi w:val="0"/>
              <w:spacing w:before="0" w:after="0"/>
              <w:jc w:val="left"/>
              <w:rPr/>
            </w:pPr>
            <w:r>
              <w:rPr>
                <w:sz w:val="20"/>
              </w:rPr>
              <w:t>Very truly yours,</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88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881" w:type="dxa"/>
            <w:tcBorders/>
            <w:tcMar>
              <w:top w:w="0" w:type="dxa"/>
              <w:left w:w="0" w:type="dxa"/>
              <w:bottom w:w="0" w:type="dxa"/>
              <w:right w:w="0" w:type="dxa"/>
            </w:tcMar>
            <w:vAlign w:val="center"/>
          </w:tcPr>
          <w:p>
            <w:pPr>
              <w:pStyle w:val="TableContents"/>
              <w:bidi w:val="0"/>
              <w:spacing w:before="0" w:after="0"/>
              <w:jc w:val="left"/>
              <w:rPr/>
            </w:pPr>
            <w:r>
              <w:rPr>
                <w:sz w:val="20"/>
              </w:rPr>
              <w:t>BAKER, DONELSON,</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881" w:type="dxa"/>
            <w:tcBorders/>
            <w:tcMar>
              <w:top w:w="0" w:type="dxa"/>
              <w:left w:w="0" w:type="dxa"/>
              <w:bottom w:w="0" w:type="dxa"/>
              <w:right w:w="0" w:type="dxa"/>
            </w:tcMar>
            <w:vAlign w:val="center"/>
          </w:tcPr>
          <w:p>
            <w:pPr>
              <w:pStyle w:val="TableContents"/>
              <w:bidi w:val="0"/>
              <w:spacing w:before="0" w:after="0"/>
              <w:jc w:val="left"/>
              <w:rPr/>
            </w:pPr>
            <w:r>
              <w:rPr>
                <w:sz w:val="20"/>
              </w:rPr>
              <w:t>BEARMAN, CALDWELL</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881" w:type="dxa"/>
            <w:tcBorders/>
            <w:tcMar>
              <w:top w:w="0" w:type="dxa"/>
              <w:left w:w="0" w:type="dxa"/>
              <w:bottom w:w="0" w:type="dxa"/>
              <w:right w:w="0" w:type="dxa"/>
            </w:tcMar>
            <w:vAlign w:val="center"/>
          </w:tcPr>
          <w:p>
            <w:pPr>
              <w:pStyle w:val="TableContents"/>
              <w:bidi w:val="0"/>
              <w:spacing w:before="0" w:after="0"/>
              <w:jc w:val="left"/>
              <w:rPr/>
            </w:pPr>
            <w:r>
              <w:rPr>
                <w:sz w:val="20"/>
              </w:rPr>
              <w:t>&amp; BERKOWITZ, a professional</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881" w:type="dxa"/>
            <w:tcBorders/>
            <w:tcMar>
              <w:top w:w="0" w:type="dxa"/>
              <w:left w:w="0" w:type="dxa"/>
              <w:bottom w:w="0" w:type="dxa"/>
              <w:right w:w="0" w:type="dxa"/>
            </w:tcMar>
            <w:vAlign w:val="center"/>
          </w:tcPr>
          <w:p>
            <w:pPr>
              <w:pStyle w:val="TableContents"/>
              <w:bidi w:val="0"/>
              <w:spacing w:before="0" w:after="0"/>
              <w:jc w:val="left"/>
              <w:rPr/>
            </w:pPr>
            <w:r>
              <w:rPr>
                <w:sz w:val="20"/>
              </w:rPr>
              <w:t>corporation</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88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881" w:type="dxa"/>
            <w:tcBorders/>
            <w:tcMar>
              <w:top w:w="0" w:type="dxa"/>
              <w:left w:w="0" w:type="dxa"/>
              <w:bottom w:w="0" w:type="dxa"/>
              <w:right w:w="0" w:type="dxa"/>
            </w:tcMar>
            <w:vAlign w:val="center"/>
          </w:tcPr>
          <w:p>
            <w:pPr>
              <w:pStyle w:val="TableContents"/>
              <w:bidi w:val="0"/>
              <w:spacing w:before="0" w:after="0"/>
              <w:jc w:val="left"/>
              <w:rPr/>
            </w:pPr>
            <w:r>
              <w:rPr>
                <w:sz w:val="20"/>
              </w:rPr>
              <w:t>By: /s/ Kenneth B. Abel, Esq.</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881" w:type="dxa"/>
            <w:tcBorders/>
            <w:tcMar>
              <w:top w:w="0" w:type="dxa"/>
              <w:left w:w="0" w:type="dxa"/>
              <w:bottom w:w="0" w:type="dxa"/>
              <w:right w:w="0" w:type="dxa"/>
            </w:tcMar>
            <w:vAlign w:val="center"/>
          </w:tcPr>
          <w:p>
            <w:pPr>
              <w:pStyle w:val="TableContents"/>
              <w:bidi w:val="0"/>
              <w:spacing w:before="0" w:after="0"/>
              <w:jc w:val="left"/>
              <w:rPr/>
            </w:pPr>
            <w:r>
              <w:rPr>
                <w:sz w:val="20"/>
              </w:rPr>
              <w:t>Name: Kenneth B. Abel, Esq.</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881" w:type="dxa"/>
            <w:tcBorders/>
            <w:tcMar>
              <w:top w:w="0" w:type="dxa"/>
              <w:left w:w="0" w:type="dxa"/>
              <w:bottom w:w="0" w:type="dxa"/>
              <w:right w:w="0" w:type="dxa"/>
            </w:tcMar>
            <w:vAlign w:val="center"/>
          </w:tcPr>
          <w:p>
            <w:pPr>
              <w:pStyle w:val="TableContents"/>
              <w:bidi w:val="0"/>
              <w:spacing w:before="0" w:after="0"/>
              <w:jc w:val="left"/>
              <w:rPr/>
            </w:pPr>
            <w:r>
              <w:rPr>
                <w:sz w:val="20"/>
              </w:rPr>
              <w:t>Title: Authorized Representative</w:t>
            </w:r>
            <w:r>
              <w:rPr/>
              <w:t xml:space="preserve"> </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HorizontalLine"/>
        <w:bidi w:val="0"/>
        <w:jc w:val="left"/>
        <w:rPr/>
      </w:pPr>
      <w:r>
        <w:rPr/>
      </w:r>
      <w:bookmarkStart w:id="6" w:name="ef20082867_exn-1.htm"/>
      <w:bookmarkStart w:id="7" w:name="ksef20082867_exn1"/>
      <w:bookmarkStart w:id="8" w:name="ef20082867_exn-1.htm"/>
      <w:bookmarkStart w:id="9" w:name="ksef20082867_exn1"/>
      <w:bookmarkEnd w:id="8"/>
      <w:bookmarkEnd w:id="9"/>
      <w:r>
        <w:br w:type="page"/>
      </w:r>
    </w:p>
    <w:p>
      <w:pPr>
        <w:pStyle w:val="TextBody"/>
        <w:bidi w:val="0"/>
        <w:spacing w:before="0" w:after="0"/>
        <w:jc w:val="right"/>
        <w:rPr>
          <w:b/>
          <w:sz w:val="20"/>
        </w:rPr>
      </w:pPr>
      <w:r>
        <w:rPr>
          <w:b/>
          <w:sz w:val="20"/>
        </w:rPr>
        <w:t>Exhibit n.1</w:t>
      </w:r>
    </w:p>
    <w:p>
      <w:pPr>
        <w:pStyle w:val="TextBody"/>
        <w:bidi w:val="0"/>
        <w:spacing w:before="0" w:after="0"/>
        <w:jc w:val="left"/>
        <w:rPr/>
      </w:pPr>
      <w:r>
        <w:rPr/>
        <w:t> </w:t>
      </w:r>
    </w:p>
    <w:p>
      <w:pPr>
        <w:pStyle w:val="TextBody"/>
        <w:bidi w:val="0"/>
        <w:spacing w:before="0" w:after="0"/>
        <w:ind w:left="90" w:right="0" w:hanging="0"/>
        <w:jc w:val="center"/>
        <w:rPr>
          <w:sz w:val="21"/>
        </w:rPr>
      </w:pPr>
      <w:r>
        <w:rPr>
          <w:rFonts w:ascii="Times New Roman" w:hAnsi="Times New Roman"/>
          <w:sz w:val="20"/>
          <w:u w:val="single"/>
        </w:rPr>
        <w:t>Consent of Independent Registered Public Accounting Firm</w:t>
      </w:r>
      <w:r>
        <w:rPr>
          <w:sz w:val="21"/>
        </w:rPr>
        <w:t xml:space="preserve"> </w:t>
      </w:r>
    </w:p>
    <w:p>
      <w:pPr>
        <w:pStyle w:val="TextBody"/>
        <w:bidi w:val="0"/>
        <w:spacing w:before="0" w:after="0"/>
        <w:jc w:val="left"/>
        <w:rPr/>
      </w:pPr>
      <w:r>
        <w:rPr/>
        <w:t xml:space="preserve">  </w:t>
      </w:r>
    </w:p>
    <w:p>
      <w:pPr>
        <w:pStyle w:val="TextBody"/>
        <w:bidi w:val="0"/>
        <w:spacing w:before="0" w:after="0"/>
        <w:jc w:val="both"/>
        <w:rPr>
          <w:sz w:val="21"/>
        </w:rPr>
      </w:pPr>
      <w:r>
        <w:rPr>
          <w:rFonts w:ascii="Times New Roman" w:hAnsi="Times New Roman"/>
          <w:sz w:val="20"/>
        </w:rPr>
        <w:t>We hereby consent to the incorporation by reference in this Registration Statement of our report dated March 19, 2026, relating to the financial statements of Chicago Atlantic BDC, Inc. (the Company) appearing in the Company’s Annual Report on Form 10-K for the year ended December 31, 2025.</w:t>
      </w:r>
      <w:r>
        <w:rPr>
          <w:sz w:val="21"/>
        </w:rPr>
        <w:t xml:space="preserve"> </w:t>
      </w:r>
    </w:p>
    <w:p>
      <w:pPr>
        <w:pStyle w:val="TextBody"/>
        <w:bidi w:val="0"/>
        <w:spacing w:before="0" w:after="0"/>
        <w:jc w:val="left"/>
        <w:rPr/>
      </w:pPr>
      <w:r>
        <w:rPr/>
        <w:t xml:space="preserve">  </w:t>
      </w:r>
    </w:p>
    <w:p>
      <w:pPr>
        <w:pStyle w:val="TextBody"/>
        <w:bidi w:val="0"/>
        <w:spacing w:before="0" w:after="0"/>
        <w:jc w:val="both"/>
        <w:rPr>
          <w:sz w:val="21"/>
        </w:rPr>
      </w:pPr>
      <w:r>
        <w:rPr>
          <w:rFonts w:ascii="Times New Roman" w:hAnsi="Times New Roman"/>
          <w:sz w:val="20"/>
        </w:rPr>
        <w:t>We also consent to the reference to us under the captions “Senior Securities” and “Independent Registered Public Accounting Firm” in the Registration Statement.</w:t>
      </w:r>
      <w:r>
        <w:rPr>
          <w:sz w:val="21"/>
        </w:rPr>
        <w:t xml:space="preserve"> </w:t>
      </w:r>
    </w:p>
    <w:p>
      <w:pPr>
        <w:pStyle w:val="TextBody"/>
        <w:bidi w:val="0"/>
        <w:spacing w:before="0" w:after="0"/>
        <w:jc w:val="both"/>
        <w:rPr/>
      </w:pPr>
      <w:r>
        <w:rPr/>
        <w:t xml:space="preserve">  </w:t>
      </w:r>
    </w:p>
    <w:p>
      <w:pPr>
        <w:pStyle w:val="TextBody"/>
        <w:bidi w:val="0"/>
        <w:spacing w:before="0" w:after="0"/>
        <w:jc w:val="both"/>
        <w:rPr>
          <w:sz w:val="21"/>
        </w:rPr>
      </w:pPr>
      <w:r>
        <w:rPr>
          <w:rFonts w:ascii="Times New Roman" w:hAnsi="Times New Roman"/>
          <w:sz w:val="20"/>
        </w:rPr>
        <w:t>/s/ BDO USA, P.C.</w:t>
      </w:r>
      <w:r>
        <w:rPr>
          <w:sz w:val="21"/>
        </w:rPr>
        <w:t xml:space="preserve"> </w:t>
      </w:r>
    </w:p>
    <w:p>
      <w:pPr>
        <w:pStyle w:val="TextBody"/>
        <w:bidi w:val="0"/>
        <w:spacing w:before="0" w:after="0"/>
        <w:jc w:val="left"/>
        <w:rPr>
          <w:rFonts w:ascii="Times New Roman" w:hAnsi="Times New Roman"/>
          <w:sz w:val="20"/>
        </w:rPr>
      </w:pPr>
      <w:r>
        <w:rPr>
          <w:rFonts w:ascii="Times New Roman" w:hAnsi="Times New Roman"/>
          <w:sz w:val="20"/>
        </w:rPr>
        <w:t>New York, New York</w:t>
      </w:r>
    </w:p>
    <w:p>
      <w:pPr>
        <w:pStyle w:val="TextBody"/>
        <w:bidi w:val="0"/>
        <w:spacing w:before="0" w:after="0"/>
        <w:jc w:val="left"/>
        <w:rPr/>
      </w:pPr>
      <w:r>
        <w:rPr/>
        <w:t> </w:t>
      </w:r>
    </w:p>
    <w:p>
      <w:pPr>
        <w:pStyle w:val="TextBody"/>
        <w:bidi w:val="0"/>
        <w:spacing w:before="0" w:after="0"/>
        <w:jc w:val="left"/>
        <w:rPr>
          <w:sz w:val="21"/>
        </w:rPr>
      </w:pPr>
      <w:r>
        <w:rPr>
          <w:rFonts w:ascii="Times New Roman" w:hAnsi="Times New Roman"/>
          <w:sz w:val="20"/>
        </w:rPr>
        <w:t>September 28, 2026</w:t>
      </w:r>
      <w:r>
        <w:rPr>
          <w:sz w:val="21"/>
        </w:rPr>
        <w:t xml:space="preserve">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NewRoman">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3162/000095010322011767/dp176400_ex0301.htm" TargetMode="External"/><Relationship Id="rId3" Type="http://schemas.openxmlformats.org/officeDocument/2006/relationships/hyperlink" Target="https://www.sec.gov/Archives/edgar/data/1843162/000114036124045703/ef20034548_ex3-2.htm" TargetMode="External"/><Relationship Id="rId4" Type="http://schemas.openxmlformats.org/officeDocument/2006/relationships/hyperlink" Target="https://www.sec.gov/Archives/edgar/data/1843162/000121390025123957/ea027042501ex3-3_chicago.htm" TargetMode="External"/><Relationship Id="rId5" Type="http://schemas.openxmlformats.org/officeDocument/2006/relationships/hyperlink" Target="https://www.sec.gov/Archives/edgar/data/1843162/000095010324014651/dp219097_ex1001.htm" TargetMode="External"/><Relationship Id="rId6" Type="http://schemas.openxmlformats.org/officeDocument/2006/relationships/hyperlink" Target="https://www.sec.gov/Archives/edgar/data/1843162/000095010325002119/dp225007_ex1002.htm" TargetMode="External"/><Relationship Id="rId7" Type="http://schemas.openxmlformats.org/officeDocument/2006/relationships/hyperlink" Target="https://www.sec.gov/Archives/edgar/data/1843162/000095010325002119/dp225007_ex1003.htm" TargetMode="External"/><Relationship Id="rId8" Type="http://schemas.openxmlformats.org/officeDocument/2006/relationships/hyperlink" Target="https://www.sec.gov/Archives/edgar/data/1843162/000095010322011767/dp176400_ex1004.htm" TargetMode="External"/><Relationship Id="rId9" Type="http://schemas.openxmlformats.org/officeDocument/2006/relationships/hyperlink" Target="https://www.sec.gov/Archives/edgar/data/1843162/000095010324014651/dp219097_ex1002.htm" TargetMode="External"/><Relationship Id="rId10" Type="http://schemas.openxmlformats.org/officeDocument/2006/relationships/hyperlink" Target="https://www.sec.gov/Archives/edgar/data/1843162/000095010322011767/dp176400_ex1006.htm" TargetMode="External"/><Relationship Id="rId11" Type="http://schemas.openxmlformats.org/officeDocument/2006/relationships/hyperlink" Target="https://www.sec.gov/Archives/edgar/data/1843162/000095010325002119/dp225007_ex1001.htm" TargetMode="External"/><Relationship Id="rId12" Type="http://schemas.openxmlformats.org/officeDocument/2006/relationships/hyperlink" Target="https://www.sec.gov/Archives/edgar/data/1843162/000114036126020563/ef20072364_ex99-n2.htm" TargetMode="External"/><Relationship Id="rId13" Type="http://schemas.openxmlformats.org/officeDocument/2006/relationships/hyperlink" Target="https://www.sec.gov/Archives/edgar/data/1843162/000119312526115112/lien-ex14_1.htm" TargetMode="External"/><Relationship Id="rId14" Type="http://schemas.openxmlformats.org/officeDocument/2006/relationships/hyperlink" Target="https://www.sec.gov/Archives/edgar/data/1843162/000119312526115112/lien-ex14_1.htm" TargetMode="External"/><Relationship Id="rId15" Type="http://schemas.openxmlformats.org/officeDocument/2006/relationships/hyperlink" Target="https://www.sec.gov/ix?doc=/Archives/edgar/data/1843162/000114036126020563/ef20072364_ex99-s.htm" TargetMode="External"/><Relationship Id="rId16" Type="http://schemas.openxmlformats.org/officeDocument/2006/relationships/image" Target="media/image1.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7124</Words>
  <Characters>37706</Characters>
  <CharactersWithSpaces>45250</CharactersWithSpaces>
  <Paragraphs>715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