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7966x1_n14_100-regcov_pg1"/>
        <w:bookmarkStart w:id="1" w:name="ny20077966x1_n14.htm"/>
        <w:bookmarkStart w:id="2" w:name="ksny20077966x1_n14"/>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July 30,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Securities Act File No. 333-  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FORM N-14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REGISTRATION STATEMENT </w:t>
      </w:r>
    </w:p>
    <w:p>
      <w:pPr>
        <w:pStyle w:val="TextBody"/>
        <w:bidi w:val="0"/>
        <w:spacing w:before="0" w:after="283"/>
        <w:jc w:val="center"/>
        <w:rPr>
          <w:rFonts w:ascii="Times New Roman;Times;serif" w:hAnsi="Times New Roman;Times;serif"/>
          <w:b/>
          <w:i/>
          <w:color w:val="000000"/>
          <w:sz w:val="24"/>
        </w:rPr>
      </w:pPr>
      <w:r>
        <w:rPr>
          <w:rFonts w:ascii="Times New Roman;Times;serif" w:hAnsi="Times New Roman;Times;serif"/>
          <w:b/>
          <w:i/>
          <w:color w:val="000000"/>
          <w:sz w:val="24"/>
        </w:rPr>
        <w:t xml:space="preserve">UNDER </w:t>
      </w:r>
    </w:p>
    <w:p>
      <w:pPr>
        <w:pStyle w:val="TextBody"/>
        <w:bidi w:val="0"/>
        <w:spacing w:before="0" w:after="283"/>
        <w:jc w:val="center"/>
        <w:rPr>
          <w:rFonts w:ascii="Times New Roman;Times;serif" w:hAnsi="Times New Roman;Times;serif"/>
          <w:b/>
          <w:i/>
          <w:color w:val="000000"/>
          <w:sz w:val="24"/>
        </w:rPr>
      </w:pPr>
      <w:r>
        <w:rPr>
          <w:rFonts w:ascii="Times New Roman;Times;serif" w:hAnsi="Times New Roman;Times;serif"/>
          <w:b/>
          <w:i/>
          <w:color w:val="000000"/>
          <w:sz w:val="24"/>
        </w:rPr>
        <w:t xml:space="preserve">THE SECURITIES ACT OF 1933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24"/>
        </w:rPr>
        <w:t xml:space="preserve">Pre-Effective Amendment No.    </w:t>
      </w:r>
      <w:r>
        <w:rPr>
          <w:rFonts w:ascii="Times New Roman;Times;serif" w:hAnsi="Times New Roman;Times;serif"/>
          <w:b/>
          <w:color w:val="000000"/>
          <w:sz w:val="32"/>
        </w:rPr>
        <w:t xml:space="preserve"> ☐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24"/>
        </w:rPr>
        <w:t xml:space="preserve">Post-Effective Amendment No.   </w:t>
      </w:r>
      <w:r>
        <w:rPr>
          <w:rFonts w:ascii="Times New Roman;Times;serif" w:hAnsi="Times New Roman;Times;serif"/>
          <w:b/>
          <w:color w:val="000000"/>
          <w:sz w:val="32"/>
        </w:rPr>
        <w:t xml:space="preserve"> ☐ </w:t>
      </w:r>
    </w:p>
    <w:p>
      <w:pPr>
        <w:pStyle w:val="TextBody"/>
        <w:bidi w:val="0"/>
        <w:spacing w:before="41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CHICAGO ATLANTIC BDC,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(Exact name of registrant as specified in charter)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(312) 625-9295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(Address and telephone number, including area code, of principal executive offices)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Peter Sack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Scott Gordon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Umesh Mahajan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and address of agent for service)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tbl>
      <w:tblPr>
        <w:tblW w:w="5135" w:type="dxa"/>
        <w:jc w:val="left"/>
        <w:tblInd w:w="0" w:type="dxa"/>
        <w:tblLayout w:type="fixed"/>
        <w:tblCellMar>
          <w:top w:w="0" w:type="dxa"/>
          <w:left w:w="0" w:type="dxa"/>
          <w:bottom w:w="0" w:type="dxa"/>
          <w:right w:w="0" w:type="dxa"/>
        </w:tblCellMar>
      </w:tblPr>
      <w:tblGrid>
        <w:gridCol w:w="2765"/>
        <w:gridCol w:w="140"/>
        <w:gridCol w:w="140"/>
        <w:gridCol w:w="2090"/>
      </w:tblGrid>
      <w:tr>
        <w:trPr/>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r>
        <w:trPr/>
        <w:tc>
          <w:tcPr>
            <w:tcW w:w="276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Owen J. Pinkerton, Esq.</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Eversheds Sutherland (US) LLP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700 Sixth Street, NW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Washington, DC 20004</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 (202) 383-0100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Richard F. Langan, Esq.</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Conrad Adkins, Esq.</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Nixon Peabody LLP</w:t>
            </w:r>
          </w:p>
          <w:p>
            <w:pPr>
              <w:pStyle w:val="TableContents"/>
              <w:bidi w:val="0"/>
              <w:spacing w:lineRule="auto" w:line="240" w:before="0" w:after="283"/>
              <w:jc w:val="center"/>
              <w:rPr>
                <w:rFonts w:ascii="Times New Roman;Times;serif" w:hAnsi="Times New Roman;Times;serif"/>
                <w:b/>
                <w:color w:val="000000"/>
                <w:sz w:val="20"/>
              </w:rPr>
            </w:pPr>
            <w:r>
              <w:rPr>
                <w:rFonts w:ascii="Times New Roman;Times;serif" w:hAnsi="Times New Roman;Times;serif"/>
                <w:b/>
                <w:color w:val="000000"/>
                <w:sz w:val="20"/>
              </w:rPr>
              <w:t>55 West 46th Street</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New York, NY 10036</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 (212) 940-3000</w:t>
            </w:r>
          </w:p>
        </w:tc>
      </w:tr>
      <w:tr>
        <w:trPr/>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Approximate Date of Proposed Public Offering: </w:t>
      </w:r>
      <w:r>
        <w:rPr>
          <w:rFonts w:ascii="Times New Roman;Times;serif" w:hAnsi="Times New Roman;Times;serif"/>
          <w:b w:val="false"/>
          <w:color w:val="000000"/>
          <w:sz w:val="20"/>
        </w:rPr>
        <w:t xml:space="preserve">As soon as practicable after this registration statement becomes effective and upon completion of the merger described in the enclosed document.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7966x1_n14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Information contained herein is subject to completion or amendment. A registration statement relating to these securities has been filed with the U.S. Securities and Exchange Commission. We may not sell these securities until the registration statement filed with the U.S. Securities and Exchange Commission is effective. This document is not an offer to sell these securities and it is not soliciting an offer to buy these securities in any state or jurisdiction where such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PRELIMINARY – SUBJECT TO COMPLETION – DATED JULY 30, 2026</w:t>
      </w:r>
      <w:r>
        <w:rPr>
          <w:rFonts w:ascii="Times New Roman;Times;serif" w:hAnsi="Times New Roman;Times;serif"/>
          <w:b/>
          <w:color w:val="000000"/>
          <w:sz w:val="20"/>
        </w:rPr>
        <w:t xml:space="preserve">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 – YOUR VOTE IS VERY IMPORTANT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[ ], 2026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behalf of our Board of Directors (the “Board”) and our entire team, I am pleased to invite you to attend the special meeting of shareholders (the “LIEN Special Meeting”) of Chicago Atlantic BDC, Inc., a Maryland corporation (“LIEN”), to be held virtually on [ ], 2026 at [ ] [a.m.], Eastern Time, at the following website: www.[  ].com. By accessing such live webcast, you will be able to participate in the LIEN Special Meeting, including by voting and submitting questions.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common stock of LIEN (“LIEN Shareholders”) of record as of the close of business on [ ], 2026 are entitled to notice of, and to vote at, the LIEN Special Meeting, or any adjournment(s) or postponement(s) thereof.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LIEN Special Meeting, you will be asked to: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6" w:type="dxa"/>
            <w:tcBorders/>
            <w:vAlign w:val="center"/>
          </w:tcPr>
          <w:p>
            <w:pPr>
              <w:pStyle w:val="TableContents"/>
              <w:bidi w:val="0"/>
              <w:spacing w:lineRule="atLeast" w:line="218"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issuance of shares of LIEN common stock, par value $0.01 per share (“LIEN Common Stock”) pursuant to the Agreement and Plan of Merger, dated as of June 17, 2026 (the “Merger Agreement”), by and among LIEN, Chicago Atlantic Real Estate Finance, Inc., a Maryland corporation (“REFI”), Chicago Atlantic BDC Advisers, LLC, a Delaware limited liability company (“LIEN Adviser”) (for the limited purposes set forth therein and described below) and Chicago Atlantic REIT Manager, LLC, a Delaware limited liability company (“REFI Manager”) (for the limited purposes set forth therein and described below) (such proposal is referred to herein as the “Merger Stock Issuance Proposal”); </w:t>
            </w:r>
          </w:p>
        </w:tc>
      </w:tr>
    </w:tbl>
    <w:tbl>
      <w:tblPr>
        <w:tblW w:w="8560" w:type="dxa"/>
        <w:jc w:val="left"/>
        <w:tblInd w:w="0" w:type="dxa"/>
        <w:tblLayout w:type="fixed"/>
        <w:tblCellMar>
          <w:top w:w="0" w:type="dxa"/>
          <w:left w:w="0" w:type="dxa"/>
          <w:bottom w:w="0" w:type="dxa"/>
          <w:right w:w="0" w:type="dxa"/>
        </w:tblCellMar>
      </w:tblPr>
      <w:tblGrid>
        <w:gridCol w:w="260"/>
        <w:gridCol w:w="830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the Merger Agreement, including the Merger (as defined below) and related transactions; and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lineRule="atLeast" w:line="218"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adjournment of the LIEN Special Meeting, if necessary or appropriate, to solicit additional proxies if there are insufficient votes to approve the foregoing proposals (the “LIEN Adjournment Proposal”). </w:t>
            </w:r>
          </w:p>
        </w:tc>
      </w:tr>
    </w:tbl>
    <w:p>
      <w:pPr>
        <w:pStyle w:val="TextBody"/>
        <w:bidi w:val="0"/>
        <w:spacing w:lineRule="atLeast" w:line="21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including all of the independent directors, and upon recommendation of a special committee of the Board comprised solely of the independent directors, unanimously recommends that you vote “FOR” the approval of the Merger Agreement, including the Merger and related transactions, “FOR” the Merger Stock Issuance Proposal and “FOR” the LIEN Adjournment Proposal.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proposing a combination of both LIEN and REFI by a merger and related transactions as provided in the Merger Agreement, pursuant to which REFI would merge with and into LIEN, with LIEN continuing as the surviving company (the “Merger”). LIEN Adviser and REFI Manager are each a party to the Merger Agreement for the following limited purpose: to (i) deliver the calculation of the Closing LIEN NAV (as defined below) or the Closing REFI NAV (as defined below), as applicable, and (ii) make customary representations and warranties. REFI Manager is also party to the Merger Agreement because it is a party to the management agreement with REFI, which the Merger Agreement stipulates will be automatically terminated at the BDC Election Time (as defined below). The “BDC Election Time” is the date and time that REFI elects to be regulated as a business development company under the Investment Company Act of 1940, as amended, by filing a Form N-54A with the U.S. Securities and Exchange Commission. For the avoidance of doubt, in no event shall the date and time when the Merger becomes effective (the “Merger Effective Time”) be earlier than the BDC Election Time.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if the Merger is completed, each holder of REFI common stock, par value $0.01 per share (“REFI Common Stock”), issued and outstanding immediately prior to the Merger Effective Time will have the right to receive, for each share of REFI Common Stock, a number of shares of LIEN Common Stock, equal to the Exchange Ratio (as defined below), provided, that the Exchange Ratio shall be appropriately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lineRule="atLeast" w:line="21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 mutually agreed date no earlier than 48 hours (excluding Sundays and holidays) prior to the Merger Effective Time (such date, the “Determination Date”) each of LIEN and REFI will deliver to the other a calculation of its net asset value (“NAV”) per share as of such date </w:t>
      </w:r>
      <w:r>
        <w:rPr>
          <w:rFonts w:ascii="Times New Roman;Times;serif" w:hAnsi="Times New Roman;Times;serif"/>
          <w:b/>
          <w:color w:val="000000"/>
          <w:sz w:val="20"/>
        </w:rPr>
        <w:t>(</w:t>
      </w:r>
      <w:r>
        <w:rPr>
          <w:rFonts w:ascii="Times New Roman;Times;serif" w:hAnsi="Times New Roman;Times;serif"/>
          <w:color w:val="000000"/>
          <w:sz w:val="20"/>
        </w:rPr>
        <w:t xml:space="preserve">with respect to LIEN based on LIEN’s NAV and with respect to REFI based on REFI’s book value, each as further adjusted per Exhibit A of the Merger Agreement, including to record the applicable investment portfolio at fair value in accordance with Financial Accounting Standards Board’s Accounting Standards Codification (“ASC”) 820 and ASC 946) (such calculation with respect to LIEN, the “Closing LIEN NAV” and such calculation with respect to REFI,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The “Exchange Ratio” is the ratio (rounded to the fourth decimal place) of the Closing REFI NAV to the Closing LIEN NAV.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7966x1_n14_101-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lineRule="atLeast" w:line="228"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LIEN Common Stock will be issued, and holders of REFI Common Stock will receive cash in lieu of fractional shares. </w:t>
      </w:r>
    </w:p>
    <w:p>
      <w:pPr>
        <w:pStyle w:val="TextBody"/>
        <w:bidi w:val="0"/>
        <w:spacing w:lineRule="atLeast" w:line="22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market value of the consideration to be received by holders of REFI Common Stock will fluctuate with changes in the market price of LIEN Common Stock. You are urged to obtain current market quotations of LIEN Common Stock. LIEN Common Stock trades on the Nasdaq Global Market (“NASDAQ”) under the ticker symbol “LIEN.” The following table shows the closing sale price of LIEN Common Stock, as reported on NASDAQ on June 16, 2026, the last trading day before the execution of the Merger Agreement, and on [   ], 2026, the last trading day before the date of this document. </w:t>
      </w:r>
    </w:p>
    <w:tbl>
      <w:tblPr>
        <w:tblW w:w="5000" w:type="dxa"/>
        <w:jc w:val="left"/>
        <w:tblInd w:w="0" w:type="dxa"/>
        <w:tblLayout w:type="fixed"/>
        <w:tblCellMar>
          <w:top w:w="0" w:type="dxa"/>
          <w:left w:w="0" w:type="dxa"/>
          <w:bottom w:w="0" w:type="dxa"/>
          <w:right w:w="0" w:type="dxa"/>
        </w:tblCellMar>
      </w:tblPr>
      <w:tblGrid>
        <w:gridCol w:w="3545"/>
        <w:gridCol w:w="140"/>
        <w:gridCol w:w="140"/>
        <w:gridCol w:w="1175"/>
      </w:tblGrid>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3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lineRule="atLeast" w:line="22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notice of the LIEN Special Meeting and joint proxy statement/prospectus accompanying this letter provide a further outline of the Merger and the business to be conducted at the LIEN Special Meeting. </w:t>
      </w:r>
    </w:p>
    <w:p>
      <w:pPr>
        <w:pStyle w:val="TextBody"/>
        <w:bidi w:val="0"/>
        <w:spacing w:lineRule="atLeast" w:line="22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extremely important! </w:t>
      </w:r>
      <w:r>
        <w:rPr>
          <w:rFonts w:ascii="Times New Roman;Times;serif" w:hAnsi="Times New Roman;Times;serif"/>
          <w:b w:val="false"/>
          <w:color w:val="000000"/>
          <w:sz w:val="20"/>
        </w:rPr>
        <w:t xml:space="preserve">Your immediate response will help avoid potential delays and expenses associated with soliciting shareholder votes. I urge you to complete, date and sign the enclosed proxy card and return it promptly in the enclosed postage-prepaid envelope at your earliest convenience to assure that your shares are represented at the LIEN Special Meeting. If you prefer, you can authorize your proxy through the internet or by telephone as described in the accompanying joint proxy statement/prospectus and on the enclosed proxy card.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yours,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 Gordon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Executive Chairman and Co-Chief Investment Officer</w:t>
      </w:r>
      <w:r>
        <w:rPr>
          <w:rFonts w:ascii="Times New Roman;Times;serif" w:hAnsi="Times New Roman;Times;serif"/>
          <w:color w:val="000000"/>
          <w:sz w:val="20"/>
        </w:rPr>
        <w:t xml:space="preserve"> </w:t>
      </w:r>
    </w:p>
    <w:p>
      <w:pPr>
        <w:pStyle w:val="TextBody"/>
        <w:bidi w:val="0"/>
        <w:spacing w:lineRule="atLeast" w:line="228"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U.S. Securities and Exchange Commission nor any state securities commission has approved or disapproved of the shares of LIEN Common Stock to be issued under this joint proxy statement/prospectus or determined if this joint proxy statement/prospectus is truthful or complete. Any representation to the contrary is a criminal offense. </w:t>
      </w:r>
    </w:p>
    <w:p>
      <w:pPr>
        <w:pStyle w:val="TextBody"/>
        <w:bidi w:val="0"/>
        <w:spacing w:lineRule="atLeast" w:line="228"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dated [ ], 2026 and it is first being mailed or otherwise delivered to LIEN Shareholders on or about [ ], 2026. </w:t>
      </w:r>
    </w:p>
    <w:tbl>
      <w:tblPr>
        <w:tblW w:w="6620" w:type="dxa"/>
        <w:jc w:val="left"/>
        <w:tblInd w:w="0" w:type="dxa"/>
        <w:tblLayout w:type="fixed"/>
        <w:tblCellMar>
          <w:top w:w="0" w:type="dxa"/>
          <w:left w:w="0" w:type="dxa"/>
          <w:bottom w:w="0" w:type="dxa"/>
          <w:right w:w="0" w:type="dxa"/>
        </w:tblCellMar>
      </w:tblPr>
      <w:tblGrid>
        <w:gridCol w:w="2810"/>
        <w:gridCol w:w="140"/>
        <w:gridCol w:w="140"/>
        <w:gridCol w:w="3530"/>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BDC,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600 Madison Avenue, Suite 1800 </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New York, NY 10022</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Real Estate Finance,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420 N. Wabash Avenue, Suite 500</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Chicago, IL 60611</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7966x1_n14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600 Madison Avenue, Suite 1800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(312) 625-9295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SHAREHOLDERS TO BE HELD ON [  ],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to the owners of shares of common stock (the “LIEN Shareholders”) of Chicago Atlantic BDC, Inc., a Maryland corporation (“LIEN”), that: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Special Meeting of Shareholders (the “LIEN Special Meeting”) of LIEN will be held virtually on [  ], 2026 at [ ], Eastern Time, at the following website: www.[  ].com, for LIEN Shareholders to consider and vote on: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shares of LIEN common stock, par value $0.01 per share (“LIEN Common Stock”) pursuant to the Agreement and Plan of Merger, dated as of June 17, 2026 (the “Merger Agreement”), by and among LIEN, Chicago Atlantic Real Estate Finance, Inc., a Maryland corporation (“REFI”), Chicago Atlantic BDC Advisers, LLC, a Delaware limited liability company (“LIEN Adviser”) (for the limited purposes set forth therein) and Chicago Atlantic REIT Manager, LLC, a Delaware limited liability company (“REFI Manager”) (for the limited purposes set forth therein) (such proposal is referred to herein as the “Merger Stock Issuance Proposal”); </w:t>
            </w:r>
          </w:p>
        </w:tc>
      </w:tr>
    </w:tbl>
    <w:tbl>
      <w:tblPr>
        <w:tblW w:w="7855" w:type="dxa"/>
        <w:jc w:val="left"/>
        <w:tblInd w:w="0" w:type="dxa"/>
        <w:tblLayout w:type="fixed"/>
        <w:tblCellMar>
          <w:top w:w="0" w:type="dxa"/>
          <w:left w:w="0" w:type="dxa"/>
          <w:bottom w:w="0" w:type="dxa"/>
          <w:right w:w="0" w:type="dxa"/>
        </w:tblCellMar>
      </w:tblPr>
      <w:tblGrid>
        <w:gridCol w:w="260"/>
        <w:gridCol w:w="759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including the Merger (as defined below) and related transactions; and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adjournment of the LIEN Special Meeting, if necessary or appropriate, to solicit additional proxies if there are insufficient votes to approve the foregoing proposals (the “LIEN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proposing a combination of both LIEN and REFI by a merger and related transactions as provided in the Merger Agreement, pursuant to which REFI would merge with and into LIEN, with LIEN continuing as the surviving company (the “Merger”). Closing of the Merger is contingent upon: (i) LIEN Shareholder approval of: (1) the Merger Agreement, including the Merger and related transactions, and (2) the Merger Stock Issuance Proposal; (ii) approval by holders of common stock of REFI (“REFI Shareholders”) of (1) a proposal to approve REFI’s election to be regulated as a business development company under the Investment Company Act of 1940, as amended (the “1940 Act”), by filing a Form N-54A with the U.S. Securities and Exchange Commission, (2) a proposal to adopt a new 1940 Act compliant investment advisory agreement by and between REFI and LIEN Adviser and (3) a proposal to adopt the Merger Agreement; and (iii) certain other closing conditions. If the Merger does not close, the LIEN Common Stock will not be issued pursuant to the Merger Stock Issuance Proposal, even if approved by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if the Merger is completed, each holder of REFI common stock, par value $0.01 per share (“REFI Common Stock”), issued and outstanding immediately prior to the date and time when the Merger becomes effective (the “Merger Effective Time”) will have the right to receive, for each share of REFI Common Stock, a number of shares of LIEN Common Stock equal to the Exchange Ratio (as defined below), provided, that the Exchange Ratio shall be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 mutually agreed date no earlier than 48 hours (excluding Sundays and holidays) prior to the effective date of the Merger (such date, the “Determination Date”) each of LIEN and REFI will deliver to the other a calculation of its net asset value (“NAV”) per share as of such date (with respect to LIEN based on LIEN’s NAV and with respect to REFI based on REFI’s book value, each as further adjusted per Exhibit A of the Merger Agreement, including to record the applicable investment portfolio at fair value in accordance with Financial Accounting Standards Board’s Accounting Standards Codification (“ASC”) 820 and ASC 946) (such calculation with respect to LIEN, the “Closing LIEN NAV” and such calculation with respect to REFI,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The “Exchange Ratio” is the ratio (rounded to the fourth decimal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7966x1_n14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place) of the Closing REFI NAV to the Closing LIEN NAV. See “</w:t>
      </w:r>
      <w:r>
        <w:rPr>
          <w:rFonts w:ascii="Times New Roman;Times;serif" w:hAnsi="Times New Roman;Times;serif"/>
          <w:i/>
          <w:color w:val="000000"/>
          <w:sz w:val="20"/>
        </w:rPr>
        <w:t>Summary of the Merger — Merger Consideration</w:t>
      </w:r>
      <w:r>
        <w:rPr>
          <w:rFonts w:ascii="Times New Roman;Times;serif" w:hAnsi="Times New Roman;Times;serif"/>
          <w:color w:val="000000"/>
          <w:sz w:val="20"/>
        </w:rPr>
        <w:t xml:space="preserve">” in the joint proxy statement/prospectus accompanying this letter for a full description of the determination of the Exchange Ratio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Enclosed is a copy of the joint proxy statement/prospectus and the proxy card. You have the right to receive notice of, and to vote at, the LIEN Special Meeting if you were a LIEN Shareholder of record at the close of business on [ ], 2026. Whether or not you expect to be present virtually at the LIEN Special Meeting, please sign the enclosed proxy and return it promptly in the envelope provided, or authorize your proxy via the internet or telephone. Instructions are shown on the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extremely important to LIEN. In the event there are not sufficient votes for a quorum or to approve the proposals at the time of the LIEN Special Meeting, the LIEN Special Meeting may be adjourned in order to permit further solicitation of proxies by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Merger Agreement are each described in more detail in this joint proxy statement/prospectus, which you should read carefully and in its entirety before authorizing a proxy to vote. A copy of the Merger Agreement is attached to this joint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LIEN BOARD OF DIRECTORS (THE “LIEN BOARD”), INCLUDING, AFTER SEPARATE MEETINGS AND DISCUSSION, AND UPON RECOMMENDATION OF A SPECIAL COMMITTEE OF THE LIEN BOARD COMPRISED SOLELY OF THE INDEPENDENT DIRECTORS OF LIEN (THE “LIEN SPECIAL COMMITTEE”), HAS UNANIMOUSLY APPROVED THE MERGER STOCK ISSUANCE PROPOSAL, THE MERGER AGREEMENT, INCLUDING THE MERGER AND RELATED TRANSACTIONS AND THE LIEN ADJOURNMENT PROPOSAL, AND UNANIMOUSLY RECOMMENDS THAT LIEN SHAREHOLDERS VOTE “FOR” THE MERGER STOCK ISSUANCE PROPOSAL, “FOR” THE MERGER AGREEMENT, INCLUDING THE MERGER AND RELATED TRANSACTIONS AND “FOR” THE LIEN ADJOURNMENT PROPOSAL. </w:t>
      </w:r>
    </w:p>
    <w:tbl>
      <w:tblPr>
        <w:tblW w:w="3815" w:type="dxa"/>
        <w:jc w:val="left"/>
        <w:tblInd w:w="0" w:type="dxa"/>
        <w:tblLayout w:type="fixed"/>
        <w:tblCellMar>
          <w:top w:w="0" w:type="dxa"/>
          <w:left w:w="0" w:type="dxa"/>
          <w:bottom w:w="0" w:type="dxa"/>
          <w:right w:w="0" w:type="dxa"/>
        </w:tblCellMar>
      </w:tblPr>
      <w:tblGrid>
        <w:gridCol w:w="155"/>
        <w:gridCol w:w="140"/>
        <w:gridCol w:w="140"/>
        <w:gridCol w:w="338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LIEN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Umesh Mahajan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Secretary</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is an important meeting. To ensure proper representation at the meeting, please promptly authorize a proxy over the internet or by telephone, or execute and return the accompanying proxy card, which is being solicited by the LIEN Board of Directors. Instructions are shown on the proxy card. Authorizing a proxy is important to ensure a quorum at the LIEN Special Meeting. Proxies may be revoked at any time before they are exercised by submitting a written notice of revocation or a subsequently executed proxy, or by attending the LIEN Special Meeting and voting virtually. In addition to the use of mail, directors, officers and regular employees of LIEN Adviser, without special compensation therefor, may solicit proxies personally or by telephone, electronic mail or other electronic means from LIEN Shareholders. The address of LIEN Adviser is 600 Madison Avenue, Suite 1800, New York, NY 10022.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LIEN Special Meeting, LIEN’s joint proxy statement/prospectus and the proxy card are available at www.[ ].com.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7966x1_n14_103-vote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420 N. Wabash Avenue, Suite 500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IL 60611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 – YOUR VOTE IS VERY IMPORTANT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[ ],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behalf of our Board of Directors (the “Board”) and our entire team, I am pleased to invite you to attend the special meeting of shareholders (the “REFI Special Meeting”) of Chicago Atlantic Real Estate Finance, Inc., a Maryland corporation (“REFI”), to be held virtually on [ ], 2026 at [ ] [a.m.], Eastern Time, at the following website: www.[    ].com.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common stock of REFI (“REFI Shareholders”) of record as of the close of business on [ ], 2026 are entitled to notice of, and to vote at, the REFI Special Meeting, or any adjournment(s) or postponement(s) thereof.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REFI Special Meeting, you will be asked to: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REFI’s election (the “BDC Election”) to be regulated as a business development company under the Investment Company Act of 1940, as amended (the “1940 Act”), by filing a Form N-54A with the U.S. Securities and Exchange Commission (the “SEC”) (such proposal, the “BDC Election Proposal”);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 new 1940 Act compliant investment advisory agreement by and between REFI and Chicago Atlantic BDC Advisers, LLC, a Delaware limited liability company (“LIEN Adviser”) (the “New BDC Advisory Agreement,” and such proposal, the “New BDC Advisory Agreement Proposal”)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the Agreement and Plan of Merger, dated as of June 17, 2026 (the “Merger Agreement”), by and among REFI, Chicago Atlantic BDC, Inc., a Maryland Corporation (“LIEN”), LIEN Adviser (for the limited purposes set forth therein and described below), and Chicago Atlantic REIT Manager, LLC, a Delaware limited liability company (the “REFI Manager”) (for the limited purposes set forth therein and described below) (such proposal, the “Merger Proposal”); and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the adjournment of the REFI Special Meeting, from time to time, if necessary or appropriate, including (a) to permit the filing and SEC acceptance of the BDC Election and the REFI Board’s consideration and adoption of the approvals required to be made by the REFI Board pursuant to Rule 17a-8 of the 1940 Act (the “Post-BDC Election Approvals”) prior to the vote on the Merger Proposal, and (b) to solicit additional proxies if there are insufficient votes to approve the BDC Election Proposal, the New BDC Advisory Agreement Proposal or the Merger Proposal (such proposal, the “REFI Adjournment Proposal”).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including all of the independent directors, and upon recommendation of a special committee of the Board comprised solely of the independent directors, unanimously recommends that you vote “FOR” the BDC Election Proposal, “FOR” the New BDC Advisory Agreement Proposal, “FOR” the Merger Proposal and “FOR” the REFI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Meeting is expected to be conducted in two sessions which are expected to occur on the same day. At the initial session, REFI Shareholders will be asked to vote on the BDC Election Proposal, the New BDC Advisory Agreement Proposal and the REFI Adjournment Proposal. Following the vote on the BDC Election Proposal and the New BDC Advisory Agreement Proposal, the REFI Special Meeting will be adjourned for a short time period, to permit (i) the filing of the BDC Election with the SEC and the occurrence of the BDC Election Time (as defined below) and (ii) the REFI Board’s consideration and adoption of the Post-BDC Election Approvals. The REFI Special Meeting will thereafter be reconvened, and REFI Shareholders will be asked to vote on the Merger Proposal at the reconvened session. See “</w:t>
      </w:r>
      <w:r>
        <w:rPr>
          <w:rFonts w:ascii="Times New Roman;Times;serif" w:hAnsi="Times New Roman;Times;serif"/>
          <w:i/>
          <w:color w:val="000000"/>
          <w:sz w:val="20"/>
        </w:rPr>
        <w:t>The REFI Special Meeting”</w:t>
      </w:r>
      <w:r>
        <w:rPr>
          <w:rFonts w:ascii="Times New Roman;Times;serif" w:hAnsi="Times New Roman;Times;serif"/>
          <w:color w:val="000000"/>
          <w:sz w:val="20"/>
        </w:rPr>
        <w:t xml:space="preserve"> and “</w:t>
      </w:r>
      <w:r>
        <w:rPr>
          <w:rFonts w:ascii="Times New Roman;Times;serif" w:hAnsi="Times New Roman;Times;serif"/>
          <w:i/>
          <w:color w:val="000000"/>
          <w:sz w:val="20"/>
        </w:rPr>
        <w:t>REFI Proposal IV — REFI Adjournment Proposal”</w:t>
      </w:r>
      <w:r>
        <w:rPr>
          <w:rFonts w:ascii="Times New Roman;Times;serif" w:hAnsi="Times New Roman;Times;serif"/>
          <w:color w:val="000000"/>
          <w:sz w:val="20"/>
        </w:rPr>
        <w:t xml:space="preserve"> in the accompanying joint proxy statement/prospectus for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are proposing a combination of both companies by a merger and related transactions in accordance with the Merger Agreement, pursuant to which REFI would merge with and into LIEN, with LIEN continuing as the surviving company (the “Merger”). LIEN Adviser and REFI Manager are each a party to the Merger Agreement for the following limited purpose: to (i) deliver the calculation of the Closing LIEN NAV (as defined below) or the Closing REFI NAV (as defined below), as applicable, and (ii) make customary representations and warranties. REFI Manager is also party to the Merger Agreement because it is a party to the management agreement with REFI, which the Merger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7966x1_n14_103-vote_pg2"/>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stipulates will be automatically terminated at the BDC Election Time. The “BDC Election Time” is the date and time that REFI elects to be regulated as a business development company under the 1940 Act, by filing a Form N-54A with the SEC. For the avoidance of doubt, in no event shall the date and time when the Merger becomes effective (the “Merger Effective Time”) be earlier than the BDC Election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if the Merger is completed, each holder of REFI common stock, par value $0.01 per share (“REFI Common Stock”), issued and outstanding immediately prior to the effective time of the Merger will have the right to receive, for each share of REFI Common Stock, a number of shares of LIEN common stock, par value $0.01 per share (“LIEN Common Stock”), equal to the Exchange Ratio (as defined below), provided, that the Exchange Ratio shall be appropriately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as of a mutually agreed date no earlier than 48 hours (excluding Sundays and holidays) prior to the effective date of the Merger (such date, the “Determination Date”) (i) LIEN will deliver to REFI a calculation of its net asset value (“NAV”) per share as of such date, and (ii) REFI will deliver to LIEN a statement of its adjusted book value per share as of such date. Each such calculation will be prepared in accordance with the valuation principles, assumptions and methodologies, and giving effect to the categories of adjustments, set forth in Exhibit A of the Merger Agreement, including to record the applicable investment portfolio at fair value in accordance with Financial Accounting Standards Board’s Accounting Standards Codification (“ASC”) 820 and ASC 946. LIEN’s calculation of its NAV per share, as so adjusted, is referred to as the “Closing LIEN NAV,” and REFI’s statement of its adjusted book value per share is referred to as the “Closing REFI NAV”. The Closing LIEN NAV and Closing REFI NAV, as applicable, will be updated under the circumstances set forth in the Merger Agreement. The “Exchange Ratio” is the ratio (rounded to the fourth decimal place) of the Closing REFI NAV to the Closing LIEN NAV.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LIEN Common Stock will be issued, and holders of REFI Common Stock will receive cash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requires the affirmative vote of (A) at least a majority of the outstanding shares of REFI Common Stock and (B) at least a majority of the shares of REFI Common Stock voted at the REFI Special Meeting held by REFI Shareholders unaffiliated with the parties to the Merger Agreement and related persons. This “majority-of-the-minority-shares-voted” voting requirement means that the Merger Proposal cannot be approved without the affirmative vote of a majority of the shares held by REFI Shareholders who vote on the Merger Proposal and are unaffiliated with the parties to the Merger Agreement and related persons. Your vote is therefore particularly important.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market value of the consideration to be received by REFI Shareholders will fluctuate with changes in the market price of LIEN Common Stock. You are urged to obtain current market quotations of LIEN Common Stock. LIEN Common Stock trades on the Nasdaq Global Market (“NASDAQ”) under the ticker symbol “LIEN.” The following table shows the closing sale price of LIEN Common Stock, as reported on NASDAQ on June 16, 2026, the last trading day before the execution of the Merger Agreement, and on [ ], 2026, the last trading day before the date of this document. </w:t>
      </w:r>
    </w:p>
    <w:tbl>
      <w:tblPr>
        <w:tblW w:w="5000" w:type="dxa"/>
        <w:jc w:val="left"/>
        <w:tblInd w:w="0" w:type="dxa"/>
        <w:tblLayout w:type="fixed"/>
        <w:tblCellMar>
          <w:top w:w="0" w:type="dxa"/>
          <w:left w:w="0" w:type="dxa"/>
          <w:bottom w:w="0" w:type="dxa"/>
          <w:right w:w="0" w:type="dxa"/>
        </w:tblCellMar>
      </w:tblPr>
      <w:tblGrid>
        <w:gridCol w:w="3545"/>
        <w:gridCol w:w="140"/>
        <w:gridCol w:w="140"/>
        <w:gridCol w:w="1175"/>
      </w:tblGrid>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3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notice of the REFI Special Meeting and joint proxy statement/prospectus accompanying this letter provide a further outline of the Merger and the business to be conducted at the REFI Special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extremely important! </w:t>
      </w:r>
      <w:r>
        <w:rPr>
          <w:rFonts w:ascii="Times New Roman;Times;serif" w:hAnsi="Times New Roman;Times;serif"/>
          <w:b w:val="false"/>
          <w:color w:val="000000"/>
          <w:sz w:val="20"/>
        </w:rPr>
        <w:t xml:space="preserve">Your immediate response will help avoid potential delays and expenses associated with soliciting shareholder votes. I urge you to complete, date and sign the enclosed proxy card and return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7966x1_n14_103-vote_pg3"/>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promptly in the enclosed postage-prepaid envelope at your earliest convenience to assure that your shares are represented at the REFI Special Meeting. If you prefer, you can authorize your proxy through the internet or by telephone as described in the accompanying joint proxy statement/prospectus and on the enclosed proxy card.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yours,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Peter Sack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Co-Chief Executive Officer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U.S. Securities and Exchange Commission nor any state securities commission has approved or disapproved of the shares of LIEN Common Stock to be issued under this joint proxy statement/prospectus or determined if this joint proxy statement/prospectus is truthful or complete. Any representation to the contrary is a criminal offense.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dated [  ], 2026 and it is first being mailed or otherwise delivered to REFI Shareholders on or about [    ], 2026. </w:t>
      </w:r>
    </w:p>
    <w:tbl>
      <w:tblPr>
        <w:tblW w:w="6620" w:type="dxa"/>
        <w:jc w:val="left"/>
        <w:tblInd w:w="0" w:type="dxa"/>
        <w:tblLayout w:type="fixed"/>
        <w:tblCellMar>
          <w:top w:w="0" w:type="dxa"/>
          <w:left w:w="0" w:type="dxa"/>
          <w:bottom w:w="0" w:type="dxa"/>
          <w:right w:w="0" w:type="dxa"/>
        </w:tblCellMar>
      </w:tblPr>
      <w:tblGrid>
        <w:gridCol w:w="2810"/>
        <w:gridCol w:w="140"/>
        <w:gridCol w:w="140"/>
        <w:gridCol w:w="3530"/>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BDC,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600 Madison Avenue, Suite 1800 </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New York, NY 10022</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Chicago Atlantic Real Estate Finance, Inc.</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420 N. Wabash Avenue, Suite 500</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Chicago, IL 60611</w:t>
            </w:r>
          </w:p>
          <w:p>
            <w:pPr>
              <w:pStyle w:val="TableContents"/>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(312) 625-9295</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7966x1_n14_104-meeting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420 N. Wabash Avenue, Suite 500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IL 60611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(312) 625-9295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SHAREHOLDERS TO BE HELD ON [ ],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to the owners of shares of common stock (the “REFI Shareholders”) of Chicago Atlantic Real Estate Finance, Inc., a Maryland corporation (“REFI”), that: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Special Meeting of Shareholders (the “REFI Special Meeting”) of REFI will be held virtually on [ ], 2026 at [ ], Eastern Time, at the following website: www.[  ].com, for REFI Shareholders to consider and vote on: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REFI’s election (the “BDC Election”) to be regulated as a business development company under the Investment Company Act of 1940, as amended (the “1940 Act”), by filing a Form N-54A with the U.S. Securities and Exchange Commission (the “SEC”) (such proposal, the “BDC Election Proposal”); and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a new 1940 Act compliant investment advisory agreement by and between REFI and Chicago Atlantic BDC Advisers, LLC, a Delaware limited liability company (“LIEN Adviser”) (such proposal, the “New BDC Advisory Agreement Proposal” and, together with the BDC Election, the “BDC Election Matters”);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adoption of the Agreement and Plan of Merger, dated as of June 17, 2026 (the “Merger Agreement”), by and among REFI, Chicago Atlantic BDC, Inc., a Maryland corporation (“LIEN”), LIEN Adviser (for the limited purposes set forth therein) and Chicago Atlantic REIT Manager, LLC, a Delaware limited liability company (“REFI Manager”) (for the limited purposes set forth therein) (such proposal, the “Merger Proposal”); and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adjournment of the REFI Special Meeting, from time to time, if necessary or appropriate, including (a) to permit the filing and SEC acceptance of the BDC Election and the REFI Board’s consideration and adoption of the approvals required to be made by the REFI Board pursuant to Rule 17a-8 of the 1940 Act (the “Post-BDC Election Approvals”) prior to the vote on the Merger Proposal, and (b) to solicit additional proxies if there are insufficient votes to approve the BDC Election Proposal, the New BDC Advisory Agreement Proposal or the Merger Proposal (the “REFI Adjournment Proposal”), and together with the BDC Election Proposal, the New BDC Advisory Agreement Proposal and the Merger Proposal, the “REFI Proposals”).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Closing of the Merger (as defined below) is contingent upon (i) REFI Shareholder approval of the BDC Election Proposal, the New BDC Advisory Agreement Proposal and the Merger Proposal, (ii) approval by holders of common stock of LIEN (“LIEN Shareholders”) of (a) the issuance of shares of LIEN common stock, par value $0.01 per share (“LIEN Common Stock”), pursuant to the Merger Agreement and (b) the Merger Agreement, (iii) receipt by REFI of the Post-BDC Election Approvals, and (iv) certain other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REFI will merge with and into LIEN, with LIEN as the surviving company (the “Merger”). Subject to the terms and conditions of the Merger Agreement, if the Merger is completed, each holder of REFI common stock, par value $0.01 per share (“REFI Common Stock”), issued and outstanding immediately prior to the date and time when the Merger becomes effective (the “Merger Effective Time”) will have the right to receive, for each share of REFI Common Stock, a number of shares of LIEN Common Stock equal to the Exchange Ratio (as defined below), provided, that the Exchange Ratio shall be adjusted if, between the Determination Date (as defined below)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as of a mutually agreed date no earlier than 48 hours (excluding Sundays and holidays) prior to the effective date of the Merger (such date, the “Determination Date”) (i) LIEN will deliver to REFI a calculation of its net asset value (“NAV”) per share as of such date, and (ii) REFI will deliver to LIEN a statement of its adjusted book value per share as of such date. Each such calculation will be prepared in accordance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7966x1_n14_104-meeting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the valuation principles, assumptions and methodologies, and giving effect to the categories of adjustments, set forth in Exhibit A of the Merger Agreement, including to record the applicable investment portfolio at fair value in accordance with Financial Accounting Standards Board’s Accounting Standards Codification (“ASC”) 820 and ASC 946. LIEN’s calculation of its NAV per share, as so adjusted, is referred to as the “Closing LIEN NAV,” and REFI’s statement of its adjusted book value per share is referred to as the “Closing REFI NAV.” The Closing LIEN NAV and Closing REFI NAV, as applicable, will be updated under the circumstances set forth in the Merger Agreement. The “Exchange Ratio” is the ratio (rounded to the fourth decimal place) of the Closing REFI NAV to the Closing LIEN NAV. See “</w:t>
      </w:r>
      <w:r>
        <w:rPr>
          <w:rFonts w:ascii="Times New Roman;Times;serif" w:hAnsi="Times New Roman;Times;serif"/>
          <w:i/>
          <w:color w:val="000000"/>
          <w:sz w:val="20"/>
        </w:rPr>
        <w:t>Summary of the Merger — Merger Consideration</w:t>
      </w:r>
      <w:r>
        <w:rPr>
          <w:rFonts w:ascii="Times New Roman;Times;serif" w:hAnsi="Times New Roman;Times;serif"/>
          <w:color w:val="000000"/>
          <w:sz w:val="20"/>
        </w:rPr>
        <w:t xml:space="preserve">” in the joint proxy statement/prospectus accompanying this letter for a full description of the determination of the Exchange Ratio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Enclosed is a copy of the joint proxy statement/prospectus and the proxy card. You have the right to receive notice of, and to vote at, the REFI Special Meeting if you were a REFI Shareholder of record at the close of business on [   ], 2026. Whether or not you expect to be present virtually at the REFI Special Meeting, please sign the enclosed proxy and return it promptly in the envelope provided, or authorize your proxy via the internet or telephone. Instructions are shown on the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Your vote is extremely important to us. In the event there are not sufficient votes for a quorum or to approve any of the REFI Proposals at the time of the REFI Special Meeting, or to permit the filing and SEC acceptance of the BDC Election and the REFI Board’s consideration and adoption of the Post-BDC Election Approvals prior to the vote on the Merger Proposal, the REFI Special Meeting may be adjourned in accordance with the REFI Adjournment Proposal. See “</w:t>
      </w:r>
      <w:r>
        <w:rPr>
          <w:rFonts w:ascii="Times New Roman;Times;serif" w:hAnsi="Times New Roman;Times;serif"/>
          <w:i/>
          <w:color w:val="000000"/>
          <w:sz w:val="20"/>
        </w:rPr>
        <w:t>The REFI Special Meeting</w:t>
      </w:r>
      <w:r>
        <w:rPr>
          <w:rFonts w:ascii="Times New Roman;Times;serif" w:hAnsi="Times New Roman;Times;serif"/>
          <w:color w:val="000000"/>
          <w:sz w:val="20"/>
        </w:rPr>
        <w:t>” and “</w:t>
      </w:r>
      <w:r>
        <w:rPr>
          <w:rFonts w:ascii="Times New Roman;Times;serif" w:hAnsi="Times New Roman;Times;serif"/>
          <w:i/>
          <w:color w:val="000000"/>
          <w:sz w:val="20"/>
        </w:rPr>
        <w:t>REFI Proposal IV — REFI Adjournment Proposal</w:t>
      </w:r>
      <w:r>
        <w:rPr>
          <w:rFonts w:ascii="Times New Roman;Times;serif" w:hAnsi="Times New Roman;Times;serif"/>
          <w:color w:val="000000"/>
          <w:sz w:val="20"/>
        </w:rPr>
        <w:t xml:space="preserve">” in the accompanying joint proxy statement/prospectus for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Merger Agreement are each described in more detail in this joint proxy statement/prospectus, which you should read carefully and in its entirety before authorizing a proxy to vote. A copy of the Merger Agreement is attached to this joint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REFI BOARD, INCLUDING, AFTER SEPARATE MEETINGS AND DISCUSSION, AND UPON RECOMMENDATION OF A SPECIAL COMMITTEE OF THE REFI BOARD OF DIRECTORS COMPRISED SOLELY OF THE INDEPENDENT DIRECTORS OF REFI (THE “REFI SPECIAL COMMITTEE”), HAS UNANIMOUSLY APPROVED THE REFI PROPOSALS AND UNANIMOUSLY RECOMMENDS THAT YOU VOTE “FOR” EACH OF THE REFI PROPOSALS </w:t>
      </w:r>
    </w:p>
    <w:tbl>
      <w:tblPr>
        <w:tblW w:w="4355" w:type="dxa"/>
        <w:jc w:val="left"/>
        <w:tblInd w:w="0" w:type="dxa"/>
        <w:tblLayout w:type="fixed"/>
        <w:tblCellMar>
          <w:top w:w="0" w:type="dxa"/>
          <w:left w:w="0" w:type="dxa"/>
          <w:bottom w:w="0" w:type="dxa"/>
          <w:right w:w="0" w:type="dxa"/>
        </w:tblCellMar>
      </w:tblPr>
      <w:tblGrid>
        <w:gridCol w:w="155"/>
        <w:gridCol w:w="140"/>
        <w:gridCol w:w="140"/>
        <w:gridCol w:w="39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REFI Board of Directors,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Phillip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Treasurer and Secretary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is an important meeting. To ensure proper representation at the meeting, please promptly authorize a proxy over the internet or by telephone, or execute and return the accompanying proxy card, which is being solicited by the REFI Board. Instructions are shown on the proxy card. Authorizing a proxy is important to ensure a quorum at the REFI Special Meeting. Proxies may be revoked at any time before they are exercised by submitting a written notice of revocation or a subsequently executed proxy, or by attending the REFI Special Meeting and voting virtually. In addition to the use of mail, directors, officers and regular employees of REFI Manager, without special compensation therefor, may solicit proxies personally or by telephone, electronic mail, facsimile or other electronic means from REFI Shareholders. The address of REFI Manager is 420 N. Wabash Avenue, Suite 500, Chicago, IL 60611.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REFI Special Meeting, REFI’s joint proxy statement/prospectus and the proxy card are available at www.[    ].com.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7966x1_n14_105-toc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3" w:name="TOC"/>
      <w:bookmarkStart w:id="14" w:name="TOC"/>
      <w:bookmarkEnd w:id="14"/>
    </w:p>
    <w:tbl>
      <w:tblPr>
        <w:tblW w:w="10205" w:type="dxa"/>
        <w:jc w:val="left"/>
        <w:tblInd w:w="0" w:type="dxa"/>
        <w:tblLayout w:type="fixed"/>
        <w:tblCellMar>
          <w:top w:w="0" w:type="dxa"/>
          <w:left w:w="0" w:type="dxa"/>
          <w:bottom w:w="0" w:type="dxa"/>
          <w:right w:w="0" w:type="dxa"/>
        </w:tblCellMar>
      </w:tblPr>
      <w:tblGrid>
        <w:gridCol w:w="9489"/>
        <w:gridCol w:w="140"/>
        <w:gridCol w:w="140"/>
        <w:gridCol w:w="436"/>
      </w:tblGrid>
      <w:tr>
        <w:trPr/>
        <w:tc>
          <w:tcPr>
            <w:tcW w:w="94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0"/>
              <w:jc w:val="left"/>
              <w:rPr/>
            </w:pPr>
            <w:r>
              <w:rPr/>
              <w:t> </w:t>
            </w:r>
          </w:p>
        </w:tc>
      </w:tr>
      <w:tr>
        <w:trPr/>
        <w:tc>
          <w:tcPr>
            <w:tcW w:w="94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89" w:type="dxa"/>
            <w:tcBorders/>
            <w:shd w:fill="CCEEFF" w:val="clear"/>
            <w:vAlign w:val="center"/>
          </w:tcPr>
          <w:p>
            <w:pPr>
              <w:pStyle w:val="TableContents"/>
              <w:bidi w:val="0"/>
              <w:spacing w:before="0" w:after="283"/>
              <w:ind w:left="0" w:right="0" w:hanging="0"/>
              <w:jc w:val="left"/>
              <w:rPr/>
            </w:pPr>
            <w:hyperlink w:anchor="tABT">
              <w:r>
                <w:rPr>
                  <w:rStyle w:val="InternetLink"/>
                  <w:rFonts w:ascii="Times New Roman;Times;serif" w:hAnsi="Times New Roman;Times;serif"/>
                  <w:color w:val="000000"/>
                  <w:sz w:val="20"/>
                </w:rPr>
                <w:t>ABOUT THIS DOCUMENT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ABT">
              <w:r>
                <w:rPr>
                  <w:rStyle w:val="InternetLink"/>
                  <w:rFonts w:ascii="Times New Roman;Times;serif" w:hAnsi="Times New Roman;Times;serif"/>
                  <w:color w:val="000000"/>
                  <w:sz w:val="20"/>
                </w:rPr>
                <w:t>1</w:t>
              </w:r>
            </w:hyperlink>
          </w:p>
        </w:tc>
      </w:tr>
      <w:tr>
        <w:trPr/>
        <w:tc>
          <w:tcPr>
            <w:tcW w:w="9489" w:type="dxa"/>
            <w:tcBorders/>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SPECIAL MEETINGS AND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QA">
              <w:r>
                <w:rPr>
                  <w:rStyle w:val="InternetLink"/>
                  <w:rFonts w:ascii="Times New Roman;Times;serif" w:hAnsi="Times New Roman;Times;serif"/>
                  <w:color w:val="000000"/>
                  <w:sz w:val="20"/>
                </w:rPr>
                <w:t>5</w:t>
              </w:r>
            </w:hyperlink>
          </w:p>
        </w:tc>
      </w:tr>
      <w:tr>
        <w:trPr/>
        <w:tc>
          <w:tcPr>
            <w:tcW w:w="9489"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SUM">
              <w:r>
                <w:rPr>
                  <w:rStyle w:val="InternetLink"/>
                  <w:rFonts w:ascii="Times New Roman;Times;serif" w:hAnsi="Times New Roman;Times;serif"/>
                  <w:color w:val="000000"/>
                  <w:sz w:val="20"/>
                </w:rPr>
                <w:t>19</w:t>
              </w:r>
            </w:hyperlink>
          </w:p>
        </w:tc>
      </w:tr>
      <w:tr>
        <w:trPr/>
        <w:tc>
          <w:tcPr>
            <w:tcW w:w="9489"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F">
              <w:r>
                <w:rPr>
                  <w:rStyle w:val="InternetLink"/>
                  <w:rFonts w:ascii="Times New Roman;Times;serif" w:hAnsi="Times New Roman;Times;serif"/>
                  <w:color w:val="000000"/>
                  <w:sz w:val="20"/>
                </w:rPr>
                <w:t>35</w:t>
              </w:r>
            </w:hyperlink>
          </w:p>
        </w:tc>
      </w:tr>
      <w:tr>
        <w:trPr/>
        <w:tc>
          <w:tcPr>
            <w:tcW w:w="9489" w:type="dxa"/>
            <w:tcBorders/>
            <w:shd w:fill="CCEEFF" w:val="clear"/>
            <w:vAlign w:val="center"/>
          </w:tcPr>
          <w:p>
            <w:pPr>
              <w:pStyle w:val="TableContents"/>
              <w:bidi w:val="0"/>
              <w:spacing w:before="0" w:after="283"/>
              <w:ind w:left="0" w:right="0" w:hanging="0"/>
              <w:jc w:val="left"/>
              <w:rPr/>
            </w:pPr>
            <w:hyperlink w:anchor="tCFE">
              <w:r>
                <w:rPr>
                  <w:rStyle w:val="InternetLink"/>
                  <w:rFonts w:ascii="Times New Roman;Times;serif" w:hAnsi="Times New Roman;Times;serif"/>
                  <w:color w:val="000000"/>
                  <w:sz w:val="20"/>
                </w:rPr>
                <w:t xml:space="preserve">COMPARATIVE FEES AND EXPENSES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FE">
              <w:r>
                <w:rPr>
                  <w:rStyle w:val="InternetLink"/>
                  <w:rFonts w:ascii="Times New Roman;Times;serif" w:hAnsi="Times New Roman;Times;serif"/>
                  <w:color w:val="000000"/>
                  <w:sz w:val="20"/>
                </w:rPr>
                <w:t>43</w:t>
              </w:r>
            </w:hyperlink>
          </w:p>
        </w:tc>
      </w:tr>
      <w:tr>
        <w:trPr/>
        <w:tc>
          <w:tcPr>
            <w:tcW w:w="9489" w:type="dxa"/>
            <w:tcBorders/>
            <w:vAlign w:val="center"/>
          </w:tcPr>
          <w:p>
            <w:pPr>
              <w:pStyle w:val="TableContents"/>
              <w:bidi w:val="0"/>
              <w:spacing w:before="0" w:after="283"/>
              <w:ind w:left="0" w:right="0" w:hanging="0"/>
              <w:jc w:val="left"/>
              <w:rPr/>
            </w:pPr>
            <w:hyperlink w:anchor="tNEW">
              <w:r>
                <w:rPr>
                  <w:rStyle w:val="InternetLink"/>
                  <w:rFonts w:ascii="Times New Roman;Times;serif" w:hAnsi="Times New Roman;Times;serif"/>
                  <w:color w:val="000000"/>
                  <w:sz w:val="20"/>
                </w:rPr>
                <w:t>DESCRIPTION OF THE NEW BDC ADVISORY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NEW">
              <w:r>
                <w:rPr>
                  <w:rStyle w:val="InternetLink"/>
                  <w:rFonts w:ascii="Times New Roman;Times;serif" w:hAnsi="Times New Roman;Times;serif"/>
                  <w:color w:val="000000"/>
                  <w:sz w:val="20"/>
                </w:rPr>
                <w:t>46</w:t>
              </w:r>
            </w:hyperlink>
          </w:p>
        </w:tc>
      </w:tr>
      <w:tr>
        <w:trPr/>
        <w:tc>
          <w:tcPr>
            <w:tcW w:w="9489"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SPECIAL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FLS">
              <w:r>
                <w:rPr>
                  <w:rStyle w:val="InternetLink"/>
                  <w:rFonts w:ascii="Times New Roman;Times;serif" w:hAnsi="Times New Roman;Times;serif"/>
                  <w:color w:val="000000"/>
                  <w:sz w:val="20"/>
                </w:rPr>
                <w:t>48</w:t>
              </w:r>
            </w:hyperlink>
          </w:p>
        </w:tc>
      </w:tr>
      <w:tr>
        <w:trPr/>
        <w:tc>
          <w:tcPr>
            <w:tcW w:w="9489" w:type="dxa"/>
            <w:tcBorders/>
            <w:vAlign w:val="center"/>
          </w:tcPr>
          <w:p>
            <w:pPr>
              <w:pStyle w:val="TableContents"/>
              <w:bidi w:val="0"/>
              <w:spacing w:before="0" w:after="283"/>
              <w:ind w:left="0" w:right="0" w:hanging="0"/>
              <w:jc w:val="left"/>
              <w:rPr/>
            </w:pPr>
            <w:hyperlink w:anchor="tLSPM">
              <w:r>
                <w:rPr>
                  <w:rStyle w:val="InternetLink"/>
                  <w:rFonts w:ascii="Times New Roman;Times;serif" w:hAnsi="Times New Roman;Times;serif"/>
                  <w:color w:val="000000"/>
                  <w:sz w:val="20"/>
                </w:rPr>
                <w:t>THE LIEN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LSPM">
              <w:r>
                <w:rPr>
                  <w:rStyle w:val="InternetLink"/>
                  <w:rFonts w:ascii="Times New Roman;Times;serif" w:hAnsi="Times New Roman;Times;serif"/>
                  <w:color w:val="000000"/>
                  <w:sz w:val="20"/>
                </w:rPr>
                <w:t>50</w:t>
              </w:r>
            </w:hyperlink>
          </w:p>
        </w:tc>
      </w:tr>
      <w:tr>
        <w:trPr/>
        <w:tc>
          <w:tcPr>
            <w:tcW w:w="9489" w:type="dxa"/>
            <w:tcBorders/>
            <w:shd w:fill="CCEEFF" w:val="clear"/>
            <w:vAlign w:val="center"/>
          </w:tcPr>
          <w:p>
            <w:pPr>
              <w:pStyle w:val="TableContents"/>
              <w:bidi w:val="0"/>
              <w:spacing w:before="0" w:after="283"/>
              <w:ind w:left="0" w:right="0" w:hanging="0"/>
              <w:jc w:val="left"/>
              <w:rPr/>
            </w:pPr>
            <w:hyperlink w:anchor="tRSM">
              <w:r>
                <w:rPr>
                  <w:rStyle w:val="InternetLink"/>
                  <w:rFonts w:ascii="Times New Roman;Times;serif" w:hAnsi="Times New Roman;Times;serif"/>
                  <w:color w:val="000000"/>
                  <w:sz w:val="20"/>
                </w:rPr>
                <w:t>THE REFI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RSM">
              <w:r>
                <w:rPr>
                  <w:rStyle w:val="InternetLink"/>
                  <w:rFonts w:ascii="Times New Roman;Times;serif" w:hAnsi="Times New Roman;Times;serif"/>
                  <w:color w:val="000000"/>
                  <w:sz w:val="20"/>
                </w:rPr>
                <w:t>53</w:t>
              </w:r>
            </w:hyperlink>
          </w:p>
        </w:tc>
      </w:tr>
      <w:tr>
        <w:trPr/>
        <w:tc>
          <w:tcPr>
            <w:tcW w:w="9489" w:type="dxa"/>
            <w:tcBorders/>
            <w:vAlign w:val="center"/>
          </w:tcPr>
          <w:p>
            <w:pPr>
              <w:pStyle w:val="TableContents"/>
              <w:bidi w:val="0"/>
              <w:spacing w:before="0" w:after="283"/>
              <w:ind w:left="0" w:right="0" w:hanging="0"/>
              <w:jc w:val="left"/>
              <w:rPr/>
            </w:pPr>
            <w:hyperlink w:anchor="tCAP">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CAP">
              <w:r>
                <w:rPr>
                  <w:rStyle w:val="InternetLink"/>
                  <w:rFonts w:ascii="Times New Roman;Times;serif" w:hAnsi="Times New Roman;Times;serif"/>
                  <w:color w:val="000000"/>
                  <w:sz w:val="20"/>
                </w:rPr>
                <w:t>57</w:t>
              </w:r>
            </w:hyperlink>
          </w:p>
        </w:tc>
      </w:tr>
      <w:tr>
        <w:trPr/>
        <w:tc>
          <w:tcPr>
            <w:tcW w:w="9489" w:type="dxa"/>
            <w:tcBorders/>
            <w:shd w:fill="CCEEFF" w:val="clear"/>
            <w:vAlign w:val="center"/>
          </w:tcPr>
          <w:p>
            <w:pPr>
              <w:pStyle w:val="TableContents"/>
              <w:bidi w:val="0"/>
              <w:spacing w:before="0" w:after="283"/>
              <w:ind w:left="0" w:right="0" w:hanging="0"/>
              <w:jc w:val="left"/>
              <w:rPr/>
            </w:pPr>
            <w:hyperlink w:anchor="tMER">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ER">
              <w:r>
                <w:rPr>
                  <w:rStyle w:val="InternetLink"/>
                  <w:rFonts w:ascii="Times New Roman;Times;serif" w:hAnsi="Times New Roman;Times;serif"/>
                  <w:color w:val="000000"/>
                  <w:sz w:val="20"/>
                </w:rPr>
                <w:t>58</w:t>
              </w:r>
            </w:hyperlink>
          </w:p>
        </w:tc>
      </w:tr>
      <w:tr>
        <w:trPr/>
        <w:tc>
          <w:tcPr>
            <w:tcW w:w="9489" w:type="dxa"/>
            <w:tcBorders/>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DES">
              <w:r>
                <w:rPr>
                  <w:rStyle w:val="InternetLink"/>
                  <w:rFonts w:ascii="Times New Roman;Times;serif" w:hAnsi="Times New Roman;Times;serif"/>
                  <w:color w:val="000000"/>
                  <w:sz w:val="20"/>
                </w:rPr>
                <w:t>103</w:t>
              </w:r>
            </w:hyperlink>
          </w:p>
        </w:tc>
      </w:tr>
      <w:tr>
        <w:trPr/>
        <w:tc>
          <w:tcPr>
            <w:tcW w:w="9489" w:type="dxa"/>
            <w:tcBorders/>
            <w:shd w:fill="CCEEFF" w:val="clear"/>
            <w:vAlign w:val="center"/>
          </w:tcPr>
          <w:p>
            <w:pPr>
              <w:pStyle w:val="TableContents"/>
              <w:bidi w:val="0"/>
              <w:spacing w:before="0" w:after="283"/>
              <w:ind w:left="0" w:right="0" w:hanging="0"/>
              <w:jc w:val="left"/>
              <w:rPr/>
            </w:pPr>
            <w:hyperlink w:anchor="tACC">
              <w:r>
                <w:rPr>
                  <w:rStyle w:val="InternetLink"/>
                  <w:rFonts w:ascii="Times New Roman;Times;serif" w:hAnsi="Times New Roman;Times;serif"/>
                  <w:color w:val="000000"/>
                  <w:sz w:val="20"/>
                </w:rPr>
                <w:t>ACCOUNTING TREATMENT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ACC">
              <w:r>
                <w:rPr>
                  <w:rStyle w:val="InternetLink"/>
                  <w:rFonts w:ascii="Times New Roman;Times;serif" w:hAnsi="Times New Roman;Times;serif"/>
                  <w:color w:val="000000"/>
                  <w:sz w:val="20"/>
                </w:rPr>
                <w:t>120</w:t>
              </w:r>
            </w:hyperlink>
          </w:p>
        </w:tc>
      </w:tr>
      <w:tr>
        <w:trPr/>
        <w:tc>
          <w:tcPr>
            <w:tcW w:w="9489" w:type="dxa"/>
            <w:tcBorders/>
            <w:vAlign w:val="center"/>
          </w:tcPr>
          <w:p>
            <w:pPr>
              <w:pStyle w:val="TableContents"/>
              <w:bidi w:val="0"/>
              <w:spacing w:before="0" w:after="283"/>
              <w:ind w:left="0" w:right="0" w:hanging="0"/>
              <w:jc w:val="left"/>
              <w:rPr/>
            </w:pPr>
            <w:hyperlink w:anchor="tMUS">
              <w:r>
                <w:rPr>
                  <w:rStyle w:val="InternetLink"/>
                  <w:rFonts w:ascii="Times New Roman;Times;serif" w:hAnsi="Times New Roman;Times;serif"/>
                  <w:color w:val="000000"/>
                  <w:sz w:val="20"/>
                </w:rPr>
                <w:t>MATERIAL U.S. FEDERAL INCOME TAX CONSIDERATIONS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US">
              <w:r>
                <w:rPr>
                  <w:rStyle w:val="InternetLink"/>
                  <w:rFonts w:ascii="Times New Roman;Times;serif" w:hAnsi="Times New Roman;Times;serif"/>
                  <w:color w:val="000000"/>
                  <w:sz w:val="20"/>
                </w:rPr>
                <w:t>121</w:t>
              </w:r>
            </w:hyperlink>
          </w:p>
        </w:tc>
      </w:tr>
      <w:tr>
        <w:trPr/>
        <w:tc>
          <w:tcPr>
            <w:tcW w:w="9489" w:type="dxa"/>
            <w:tcBorders/>
            <w:shd w:fill="CCEEFF" w:val="clear"/>
            <w:vAlign w:val="center"/>
          </w:tcPr>
          <w:p>
            <w:pPr>
              <w:pStyle w:val="TableContents"/>
              <w:bidi w:val="0"/>
              <w:spacing w:before="0" w:after="283"/>
              <w:ind w:left="0" w:right="0" w:hanging="0"/>
              <w:jc w:val="left"/>
              <w:rPr/>
            </w:pPr>
            <w:hyperlink w:anchor="tLP1">
              <w:r>
                <w:rPr>
                  <w:rStyle w:val="InternetLink"/>
                  <w:rFonts w:ascii="Times New Roman;Times;serif" w:hAnsi="Times New Roman;Times;serif"/>
                  <w:color w:val="000000"/>
                  <w:sz w:val="20"/>
                </w:rPr>
                <w:t>LIEN PROPOSAL I: APPROVAL OF THE MERGER STOCK ISSUANCE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LP1">
              <w:r>
                <w:rPr>
                  <w:rStyle w:val="InternetLink"/>
                  <w:rFonts w:ascii="Times New Roman;Times;serif" w:hAnsi="Times New Roman;Times;serif"/>
                  <w:color w:val="000000"/>
                  <w:sz w:val="20"/>
                </w:rPr>
                <w:t>131</w:t>
              </w:r>
            </w:hyperlink>
          </w:p>
        </w:tc>
      </w:tr>
      <w:tr>
        <w:trPr/>
        <w:tc>
          <w:tcPr>
            <w:tcW w:w="9489" w:type="dxa"/>
            <w:tcBorders/>
            <w:vAlign w:val="center"/>
          </w:tcPr>
          <w:p>
            <w:pPr>
              <w:pStyle w:val="TableContents"/>
              <w:bidi w:val="0"/>
              <w:spacing w:before="0" w:after="283"/>
              <w:ind w:left="0" w:right="0" w:hanging="0"/>
              <w:jc w:val="left"/>
              <w:rPr/>
            </w:pPr>
            <w:hyperlink w:anchor="tLP2">
              <w:r>
                <w:rPr>
                  <w:rStyle w:val="InternetLink"/>
                  <w:rFonts w:ascii="Times New Roman;Times;serif" w:hAnsi="Times New Roman;Times;serif"/>
                  <w:color w:val="000000"/>
                  <w:sz w:val="20"/>
                </w:rPr>
                <w:t xml:space="preserve">LIEN PROPOSAL II: APPROVAL OF THE MERGER AGREEMENT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LP2">
              <w:r>
                <w:rPr>
                  <w:rStyle w:val="InternetLink"/>
                  <w:rFonts w:ascii="Times New Roman;Times;serif" w:hAnsi="Times New Roman;Times;serif"/>
                  <w:color w:val="000000"/>
                  <w:sz w:val="20"/>
                </w:rPr>
                <w:t>132</w:t>
              </w:r>
            </w:hyperlink>
          </w:p>
        </w:tc>
      </w:tr>
      <w:tr>
        <w:trPr/>
        <w:tc>
          <w:tcPr>
            <w:tcW w:w="9489" w:type="dxa"/>
            <w:tcBorders/>
            <w:shd w:fill="CCEEFF" w:val="clear"/>
            <w:vAlign w:val="center"/>
          </w:tcPr>
          <w:p>
            <w:pPr>
              <w:pStyle w:val="TableContents"/>
              <w:bidi w:val="0"/>
              <w:spacing w:before="0" w:after="283"/>
              <w:ind w:left="0" w:right="0" w:hanging="0"/>
              <w:jc w:val="left"/>
              <w:rPr/>
            </w:pPr>
            <w:hyperlink w:anchor="tLP3">
              <w:r>
                <w:rPr>
                  <w:rStyle w:val="InternetLink"/>
                  <w:rFonts w:ascii="Times New Roman;Times;serif" w:hAnsi="Times New Roman;Times;serif"/>
                  <w:color w:val="000000"/>
                  <w:sz w:val="20"/>
                </w:rPr>
                <w:t>LIEN PROPOSAL III: APPROVAL OF THE LIEN ADJOURNMENT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LP3">
              <w:r>
                <w:rPr>
                  <w:rStyle w:val="InternetLink"/>
                  <w:rFonts w:ascii="Times New Roman;Times;serif" w:hAnsi="Times New Roman;Times;serif"/>
                  <w:color w:val="000000"/>
                  <w:sz w:val="20"/>
                </w:rPr>
                <w:t>133</w:t>
              </w:r>
            </w:hyperlink>
          </w:p>
        </w:tc>
      </w:tr>
      <w:tr>
        <w:trPr/>
        <w:tc>
          <w:tcPr>
            <w:tcW w:w="9489" w:type="dxa"/>
            <w:tcBorders/>
            <w:vAlign w:val="center"/>
          </w:tcPr>
          <w:p>
            <w:pPr>
              <w:pStyle w:val="TableContents"/>
              <w:bidi w:val="0"/>
              <w:spacing w:before="0" w:after="283"/>
              <w:ind w:left="0" w:right="0" w:hanging="0"/>
              <w:jc w:val="left"/>
              <w:rPr/>
            </w:pPr>
            <w:hyperlink w:anchor="tRP1">
              <w:r>
                <w:rPr>
                  <w:rStyle w:val="InternetLink"/>
                  <w:rFonts w:ascii="Times New Roman;Times;serif" w:hAnsi="Times New Roman;Times;serif"/>
                  <w:color w:val="000000"/>
                  <w:sz w:val="20"/>
                </w:rPr>
                <w:t>REFI PROPOSAL I: APPROVAL OF THE BDC ELECTION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P1">
              <w:r>
                <w:rPr>
                  <w:rStyle w:val="InternetLink"/>
                  <w:rFonts w:ascii="Times New Roman;Times;serif" w:hAnsi="Times New Roman;Times;serif"/>
                  <w:color w:val="000000"/>
                  <w:sz w:val="20"/>
                </w:rPr>
                <w:t>134</w:t>
              </w:r>
            </w:hyperlink>
          </w:p>
        </w:tc>
      </w:tr>
      <w:tr>
        <w:trPr/>
        <w:tc>
          <w:tcPr>
            <w:tcW w:w="9489" w:type="dxa"/>
            <w:tcBorders/>
            <w:shd w:fill="CCEEFF" w:val="clear"/>
            <w:vAlign w:val="center"/>
          </w:tcPr>
          <w:p>
            <w:pPr>
              <w:pStyle w:val="TableContents"/>
              <w:bidi w:val="0"/>
              <w:spacing w:before="0" w:after="283"/>
              <w:ind w:left="0" w:right="0" w:hanging="0"/>
              <w:jc w:val="left"/>
              <w:rPr/>
            </w:pPr>
            <w:hyperlink w:anchor="tRP2">
              <w:r>
                <w:rPr>
                  <w:rStyle w:val="InternetLink"/>
                  <w:rFonts w:ascii="Times New Roman;Times;serif" w:hAnsi="Times New Roman;Times;serif"/>
                  <w:color w:val="000000"/>
                  <w:sz w:val="20"/>
                </w:rPr>
                <w:t>REFI PROPOSAL II: APPROVAL OF THE NEW BDC ADVISORY AGREEMENT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RP2">
              <w:r>
                <w:rPr>
                  <w:rStyle w:val="InternetLink"/>
                  <w:rFonts w:ascii="Times New Roman;Times;serif" w:hAnsi="Times New Roman;Times;serif"/>
                  <w:color w:val="000000"/>
                  <w:sz w:val="20"/>
                </w:rPr>
                <w:t>135</w:t>
              </w:r>
            </w:hyperlink>
          </w:p>
        </w:tc>
      </w:tr>
      <w:tr>
        <w:trPr/>
        <w:tc>
          <w:tcPr>
            <w:tcW w:w="9489" w:type="dxa"/>
            <w:tcBorders/>
            <w:vAlign w:val="center"/>
          </w:tcPr>
          <w:p>
            <w:pPr>
              <w:pStyle w:val="TableContents"/>
              <w:bidi w:val="0"/>
              <w:spacing w:before="0" w:after="283"/>
              <w:ind w:left="0" w:right="0" w:hanging="0"/>
              <w:jc w:val="left"/>
              <w:rPr/>
            </w:pPr>
            <w:hyperlink w:anchor="tRP3">
              <w:r>
                <w:rPr>
                  <w:rStyle w:val="InternetLink"/>
                  <w:rFonts w:ascii="Times New Roman;Times;serif" w:hAnsi="Times New Roman;Times;serif"/>
                  <w:color w:val="000000"/>
                  <w:sz w:val="20"/>
                </w:rPr>
                <w:t>REFI PROPOSAL III: APPROVAL OF THE MERGER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P3">
              <w:r>
                <w:rPr>
                  <w:rStyle w:val="InternetLink"/>
                  <w:rFonts w:ascii="Times New Roman;Times;serif" w:hAnsi="Times New Roman;Times;serif"/>
                  <w:color w:val="000000"/>
                  <w:sz w:val="20"/>
                </w:rPr>
                <w:t>136</w:t>
              </w:r>
            </w:hyperlink>
          </w:p>
        </w:tc>
      </w:tr>
      <w:tr>
        <w:trPr/>
        <w:tc>
          <w:tcPr>
            <w:tcW w:w="9489" w:type="dxa"/>
            <w:tcBorders/>
            <w:shd w:fill="CCEEFF" w:val="clear"/>
            <w:vAlign w:val="center"/>
          </w:tcPr>
          <w:p>
            <w:pPr>
              <w:pStyle w:val="TableContents"/>
              <w:bidi w:val="0"/>
              <w:spacing w:before="0" w:after="283"/>
              <w:ind w:left="0" w:right="0" w:hanging="0"/>
              <w:jc w:val="left"/>
              <w:rPr/>
            </w:pPr>
            <w:hyperlink w:anchor="tRP4">
              <w:r>
                <w:rPr>
                  <w:rStyle w:val="InternetLink"/>
                  <w:rFonts w:ascii="Times New Roman;Times;serif" w:hAnsi="Times New Roman;Times;serif"/>
                  <w:color w:val="000000"/>
                  <w:sz w:val="20"/>
                </w:rPr>
                <w:t xml:space="preserve">REFI PROPOSAL IV: APPROVAL OF THE REFI ADJOURNMENT PROPOSAL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RP4">
              <w:r>
                <w:rPr>
                  <w:rStyle w:val="InternetLink"/>
                  <w:rFonts w:ascii="Times New Roman;Times;serif" w:hAnsi="Times New Roman;Times;serif"/>
                  <w:color w:val="000000"/>
                  <w:sz w:val="20"/>
                </w:rPr>
                <w:t>137</w:t>
              </w:r>
            </w:hyperlink>
          </w:p>
        </w:tc>
      </w:tr>
      <w:tr>
        <w:trPr/>
        <w:tc>
          <w:tcPr>
            <w:tcW w:w="9489" w:type="dxa"/>
            <w:tcBorders/>
            <w:vAlign w:val="center"/>
          </w:tcPr>
          <w:p>
            <w:pPr>
              <w:pStyle w:val="TableContents"/>
              <w:bidi w:val="0"/>
              <w:spacing w:before="0" w:after="283"/>
              <w:ind w:left="0" w:right="0" w:hanging="0"/>
              <w:jc w:val="left"/>
              <w:rPr/>
            </w:pPr>
            <w:hyperlink w:anchor="tMPD">
              <w:r>
                <w:rPr>
                  <w:rStyle w:val="InternetLink"/>
                  <w:rFonts w:ascii="Times New Roman;Times;serif" w:hAnsi="Times New Roman;Times;serif"/>
                  <w:color w:val="000000"/>
                  <w:sz w:val="20"/>
                </w:rPr>
                <w:t>MARKET PRICE, DIVIDEND AND DISTRIBUTION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PD">
              <w:r>
                <w:rPr>
                  <w:rStyle w:val="InternetLink"/>
                  <w:rFonts w:ascii="Times New Roman;Times;serif" w:hAnsi="Times New Roman;Times;serif"/>
                  <w:color w:val="000000"/>
                  <w:sz w:val="20"/>
                </w:rPr>
                <w:t>138</w:t>
              </w:r>
            </w:hyperlink>
          </w:p>
        </w:tc>
      </w:tr>
      <w:tr>
        <w:trPr/>
        <w:tc>
          <w:tcPr>
            <w:tcW w:w="9489" w:type="dxa"/>
            <w:tcBorders/>
            <w:shd w:fill="CCEEFF" w:val="clear"/>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BUS">
              <w:r>
                <w:rPr>
                  <w:rStyle w:val="InternetLink"/>
                  <w:rFonts w:ascii="Times New Roman;Times;serif" w:hAnsi="Times New Roman;Times;serif"/>
                  <w:color w:val="000000"/>
                  <w:sz w:val="20"/>
                </w:rPr>
                <w:t>140</w:t>
              </w:r>
            </w:hyperlink>
          </w:p>
        </w:tc>
      </w:tr>
      <w:tr>
        <w:trPr/>
        <w:tc>
          <w:tcPr>
            <w:tcW w:w="9489" w:type="dxa"/>
            <w:tcBorders/>
            <w:vAlign w:val="center"/>
          </w:tcPr>
          <w:p>
            <w:pPr>
              <w:pStyle w:val="TableContents"/>
              <w:bidi w:val="0"/>
              <w:spacing w:before="0" w:after="283"/>
              <w:ind w:left="0" w:right="0" w:hanging="0"/>
              <w:jc w:val="left"/>
              <w:rPr/>
            </w:pPr>
            <w:hyperlink w:anchor="tFIN">
              <w:r>
                <w:rPr>
                  <w:rStyle w:val="InternetLink"/>
                  <w:rFonts w:ascii="Times New Roman;Times;serif" w:hAnsi="Times New Roman;Times;serif"/>
                  <w:color w:val="000000"/>
                  <w:sz w:val="20"/>
                </w:rPr>
                <w:t>FINANCIAL HIGHLIGHTS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FIN">
              <w:r>
                <w:rPr>
                  <w:rStyle w:val="InternetLink"/>
                  <w:rFonts w:ascii="Times New Roman;Times;serif" w:hAnsi="Times New Roman;Times;serif"/>
                  <w:color w:val="000000"/>
                  <w:sz w:val="20"/>
                </w:rPr>
                <w:t>141</w:t>
              </w:r>
            </w:hyperlink>
          </w:p>
        </w:tc>
      </w:tr>
      <w:tr>
        <w:trPr/>
        <w:tc>
          <w:tcPr>
            <w:tcW w:w="9489" w:type="dxa"/>
            <w:tcBorders/>
            <w:shd w:fill="CCEEFF" w:val="clear"/>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MANAGEMENT’S DISCUSSION AND ANALYSIS OF FINANCIAL CONDITION AND RESULTS OF OPERATIONS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DA">
              <w:r>
                <w:rPr>
                  <w:rStyle w:val="InternetLink"/>
                  <w:rFonts w:ascii="Times New Roman;Times;serif" w:hAnsi="Times New Roman;Times;serif"/>
                  <w:color w:val="000000"/>
                  <w:sz w:val="20"/>
                </w:rPr>
                <w:t>142</w:t>
              </w:r>
            </w:hyperlink>
          </w:p>
        </w:tc>
      </w:tr>
      <w:tr>
        <w:trPr/>
        <w:tc>
          <w:tcPr>
            <w:tcW w:w="9489" w:type="dxa"/>
            <w:tcBorders/>
            <w:vAlign w:val="center"/>
          </w:tcPr>
          <w:p>
            <w:pPr>
              <w:pStyle w:val="TableContents"/>
              <w:bidi w:val="0"/>
              <w:spacing w:before="0" w:after="283"/>
              <w:ind w:left="0" w:right="0" w:hanging="0"/>
              <w:jc w:val="left"/>
              <w:rPr/>
            </w:pPr>
            <w:hyperlink w:anchor="tSSL">
              <w:r>
                <w:rPr>
                  <w:rStyle w:val="InternetLink"/>
                  <w:rFonts w:ascii="Times New Roman;Times;serif" w:hAnsi="Times New Roman;Times;serif"/>
                  <w:color w:val="000000"/>
                  <w:sz w:val="20"/>
                </w:rPr>
                <w:t>SENIOR SECURITIES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SSL">
              <w:r>
                <w:rPr>
                  <w:rStyle w:val="InternetLink"/>
                  <w:rFonts w:ascii="Times New Roman;Times;serif" w:hAnsi="Times New Roman;Times;serif"/>
                  <w:color w:val="000000"/>
                  <w:sz w:val="20"/>
                </w:rPr>
                <w:t>143</w:t>
              </w:r>
            </w:hyperlink>
          </w:p>
        </w:tc>
      </w:tr>
      <w:tr>
        <w:trPr/>
        <w:tc>
          <w:tcPr>
            <w:tcW w:w="9489" w:type="dxa"/>
            <w:tcBorders/>
            <w:shd w:fill="CCEEFF" w:val="clear"/>
            <w:vAlign w:val="center"/>
          </w:tcPr>
          <w:p>
            <w:pPr>
              <w:pStyle w:val="TableContents"/>
              <w:bidi w:val="0"/>
              <w:spacing w:before="0" w:after="283"/>
              <w:ind w:left="0" w:right="0" w:hanging="0"/>
              <w:jc w:val="left"/>
              <w:rPr/>
            </w:pPr>
            <w:hyperlink w:anchor="tPCL">
              <w:r>
                <w:rPr>
                  <w:rStyle w:val="InternetLink"/>
                  <w:rFonts w:ascii="Times New Roman;Times;serif" w:hAnsi="Times New Roman;Times;serif"/>
                  <w:color w:val="000000"/>
                  <w:sz w:val="20"/>
                </w:rPr>
                <w:t>PORTFOLIO COMPANIES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PCL">
              <w:r>
                <w:rPr>
                  <w:rStyle w:val="InternetLink"/>
                  <w:rFonts w:ascii="Times New Roman;Times;serif" w:hAnsi="Times New Roman;Times;serif"/>
                  <w:color w:val="000000"/>
                  <w:sz w:val="20"/>
                </w:rPr>
                <w:t>144</w:t>
              </w:r>
            </w:hyperlink>
          </w:p>
        </w:tc>
      </w:tr>
      <w:tr>
        <w:trPr/>
        <w:tc>
          <w:tcPr>
            <w:tcW w:w="9489" w:type="dxa"/>
            <w:tcBorders/>
            <w:vAlign w:val="center"/>
          </w:tcPr>
          <w:p>
            <w:pPr>
              <w:pStyle w:val="TableContents"/>
              <w:bidi w:val="0"/>
              <w:spacing w:before="0" w:after="283"/>
              <w:ind w:left="0" w:right="0" w:hanging="0"/>
              <w:jc w:val="left"/>
              <w:rPr/>
            </w:pPr>
            <w:hyperlink w:anchor="tMAN">
              <w:r>
                <w:rPr>
                  <w:rStyle w:val="InternetLink"/>
                  <w:rFonts w:ascii="Times New Roman;Times;serif" w:hAnsi="Times New Roman;Times;serif"/>
                  <w:color w:val="000000"/>
                  <w:sz w:val="20"/>
                </w:rPr>
                <w:t>MANAGEMENT AGREEMENTS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AN">
              <w:r>
                <w:rPr>
                  <w:rStyle w:val="InternetLink"/>
                  <w:rFonts w:ascii="Times New Roman;Times;serif" w:hAnsi="Times New Roman;Times;serif"/>
                  <w:color w:val="000000"/>
                  <w:sz w:val="20"/>
                </w:rPr>
                <w:t>147</w:t>
              </w:r>
            </w:hyperlink>
          </w:p>
        </w:tc>
      </w:tr>
      <w:tr>
        <w:trPr/>
        <w:tc>
          <w:tcPr>
            <w:tcW w:w="9489" w:type="dxa"/>
            <w:tcBorders/>
            <w:shd w:fill="CCEEFF" w:val="clear"/>
            <w:vAlign w:val="center"/>
          </w:tcPr>
          <w:p>
            <w:pPr>
              <w:pStyle w:val="TableContents"/>
              <w:bidi w:val="0"/>
              <w:spacing w:before="0" w:after="283"/>
              <w:ind w:left="0" w:right="0" w:hanging="0"/>
              <w:jc w:val="left"/>
              <w:rPr/>
            </w:pPr>
            <w:hyperlink w:anchor="tCER">
              <w:r>
                <w:rPr>
                  <w:rStyle w:val="InternetLink"/>
                  <w:rFonts w:ascii="Times New Roman;Times;serif" w:hAnsi="Times New Roman;Times;serif"/>
                  <w:color w:val="000000"/>
                  <w:sz w:val="20"/>
                </w:rPr>
                <w:t>CERTAIN RELATIONSHIPS AND RELATED PARTY TRANSACTIONS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ER">
              <w:r>
                <w:rPr>
                  <w:rStyle w:val="InternetLink"/>
                  <w:rFonts w:ascii="Times New Roman;Times;serif" w:hAnsi="Times New Roman;Times;serif"/>
                  <w:color w:val="000000"/>
                  <w:sz w:val="20"/>
                </w:rPr>
                <w:t>148</w:t>
              </w:r>
            </w:hyperlink>
          </w:p>
        </w:tc>
      </w:tr>
      <w:tr>
        <w:trPr/>
        <w:tc>
          <w:tcPr>
            <w:tcW w:w="9489" w:type="dxa"/>
            <w:tcBorders/>
            <w:vAlign w:val="center"/>
          </w:tcPr>
          <w:p>
            <w:pPr>
              <w:pStyle w:val="TableContents"/>
              <w:bidi w:val="0"/>
              <w:spacing w:before="0" w:after="283"/>
              <w:ind w:left="0" w:right="0" w:hanging="0"/>
              <w:jc w:val="left"/>
              <w:rPr/>
            </w:pPr>
            <w:hyperlink w:anchor="tCON">
              <w:r>
                <w:rPr>
                  <w:rStyle w:val="InternetLink"/>
                  <w:rFonts w:ascii="Times New Roman;Times;serif" w:hAnsi="Times New Roman;Times;serif"/>
                  <w:color w:val="000000"/>
                  <w:sz w:val="20"/>
                </w:rPr>
                <w:t>CONTROL PERSONS AND PRINCIPAL SHAREHOLDERS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CON">
              <w:r>
                <w:rPr>
                  <w:rStyle w:val="InternetLink"/>
                  <w:rFonts w:ascii="Times New Roman;Times;serif" w:hAnsi="Times New Roman;Times;serif"/>
                  <w:color w:val="000000"/>
                  <w:sz w:val="20"/>
                </w:rPr>
                <w:t>149</w:t>
              </w:r>
            </w:hyperlink>
          </w:p>
        </w:tc>
      </w:tr>
      <w:tr>
        <w:trPr/>
        <w:tc>
          <w:tcPr>
            <w:tcW w:w="9489" w:type="dxa"/>
            <w:tcBorders/>
            <w:shd w:fill="CCEEFF" w:val="clear"/>
            <w:vAlign w:val="center"/>
          </w:tcPr>
          <w:p>
            <w:pPr>
              <w:pStyle w:val="TableContents"/>
              <w:bidi w:val="0"/>
              <w:spacing w:before="0" w:after="283"/>
              <w:ind w:left="0" w:right="0" w:hanging="0"/>
              <w:jc w:val="left"/>
              <w:rPr/>
            </w:pPr>
            <w:hyperlink w:anchor="tMOL">
              <w:r>
                <w:rPr>
                  <w:rStyle w:val="InternetLink"/>
                  <w:rFonts w:ascii="Times New Roman;Times;serif" w:hAnsi="Times New Roman;Times;serif"/>
                  <w:color w:val="000000"/>
                  <w:sz w:val="20"/>
                </w:rPr>
                <w:t>MANAGEMENT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OL">
              <w:r>
                <w:rPr>
                  <w:rStyle w:val="InternetLink"/>
                  <w:rFonts w:ascii="Times New Roman;Times;serif" w:hAnsi="Times New Roman;Times;serif"/>
                  <w:color w:val="000000"/>
                  <w:sz w:val="20"/>
                </w:rPr>
                <w:t>151</w:t>
              </w:r>
            </w:hyperlink>
          </w:p>
        </w:tc>
      </w:tr>
      <w:tr>
        <w:trPr/>
        <w:tc>
          <w:tcPr>
            <w:tcW w:w="9489" w:type="dxa"/>
            <w:tcBorders/>
            <w:vAlign w:val="center"/>
          </w:tcPr>
          <w:p>
            <w:pPr>
              <w:pStyle w:val="TableContents"/>
              <w:bidi w:val="0"/>
              <w:spacing w:before="0" w:after="283"/>
              <w:ind w:left="0" w:right="0" w:hanging="0"/>
              <w:jc w:val="left"/>
              <w:rPr/>
            </w:pPr>
            <w:hyperlink w:anchor="tPOL">
              <w:r>
                <w:rPr>
                  <w:rStyle w:val="InternetLink"/>
                  <w:rFonts w:ascii="Times New Roman;Times;serif" w:hAnsi="Times New Roman;Times;serif"/>
                  <w:color w:val="000000"/>
                  <w:sz w:val="20"/>
                </w:rPr>
                <w:t>PORTFOLIO MANAGEMENT OF LIEN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POL">
              <w:r>
                <w:rPr>
                  <w:rStyle w:val="InternetLink"/>
                  <w:rFonts w:ascii="Times New Roman;Times;serif" w:hAnsi="Times New Roman;Times;serif"/>
                  <w:color w:val="000000"/>
                  <w:sz w:val="20"/>
                </w:rPr>
                <w:t>152</w:t>
              </w:r>
            </w:hyperlink>
          </w:p>
        </w:tc>
      </w:tr>
      <w:tr>
        <w:trPr/>
        <w:tc>
          <w:tcPr>
            <w:tcW w:w="9489" w:type="dxa"/>
            <w:tcBorders/>
            <w:shd w:fill="CCEEFF" w:val="clear"/>
            <w:vAlign w:val="center"/>
          </w:tcPr>
          <w:p>
            <w:pPr>
              <w:pStyle w:val="TableContents"/>
              <w:bidi w:val="0"/>
              <w:spacing w:before="0" w:after="283"/>
              <w:ind w:left="0" w:right="0" w:hanging="0"/>
              <w:jc w:val="left"/>
              <w:rPr/>
            </w:pPr>
            <w:hyperlink w:anchor="tBUR">
              <w:r>
                <w:rPr>
                  <w:rStyle w:val="InternetLink"/>
                  <w:rFonts w:ascii="Times New Roman;Times;serif" w:hAnsi="Times New Roman;Times;serif"/>
                  <w:color w:val="000000"/>
                  <w:sz w:val="20"/>
                </w:rPr>
                <w:t>BUSINESS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BUR">
              <w:r>
                <w:rPr>
                  <w:rStyle w:val="InternetLink"/>
                  <w:rFonts w:ascii="Times New Roman;Times;serif" w:hAnsi="Times New Roman;Times;serif"/>
                  <w:color w:val="000000"/>
                  <w:sz w:val="20"/>
                </w:rPr>
                <w:t>155</w:t>
              </w:r>
            </w:hyperlink>
          </w:p>
        </w:tc>
      </w:tr>
      <w:tr>
        <w:trPr/>
        <w:tc>
          <w:tcPr>
            <w:tcW w:w="9489" w:type="dxa"/>
            <w:tcBorders/>
            <w:vAlign w:val="center"/>
          </w:tcPr>
          <w:p>
            <w:pPr>
              <w:pStyle w:val="TableContents"/>
              <w:bidi w:val="0"/>
              <w:spacing w:before="0" w:after="283"/>
              <w:ind w:left="0" w:right="0" w:hanging="0"/>
              <w:jc w:val="left"/>
              <w:rPr/>
            </w:pPr>
            <w:hyperlink w:anchor="tFHR">
              <w:r>
                <w:rPr>
                  <w:rStyle w:val="InternetLink"/>
                  <w:rFonts w:ascii="Times New Roman;Times;serif" w:hAnsi="Times New Roman;Times;serif"/>
                  <w:color w:val="000000"/>
                  <w:sz w:val="20"/>
                </w:rPr>
                <w:t>FINANCIAL HIGHLIGHTS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FHR">
              <w:r>
                <w:rPr>
                  <w:rStyle w:val="InternetLink"/>
                  <w:rFonts w:ascii="Times New Roman;Times;serif" w:hAnsi="Times New Roman;Times;serif"/>
                  <w:color w:val="000000"/>
                  <w:sz w:val="20"/>
                </w:rPr>
                <w:t>156</w:t>
              </w:r>
            </w:hyperlink>
          </w:p>
        </w:tc>
      </w:tr>
      <w:tr>
        <w:trPr/>
        <w:tc>
          <w:tcPr>
            <w:tcW w:w="9489" w:type="dxa"/>
            <w:tcBorders/>
            <w:shd w:fill="CCEEFF" w:val="clear"/>
            <w:vAlign w:val="center"/>
          </w:tcPr>
          <w:p>
            <w:pPr>
              <w:pStyle w:val="TableContents"/>
              <w:bidi w:val="0"/>
              <w:spacing w:before="0" w:after="283"/>
              <w:ind w:left="200" w:right="0" w:hanging="200"/>
              <w:jc w:val="left"/>
              <w:rPr/>
            </w:pPr>
            <w:hyperlink w:anchor="tMFC">
              <w:r>
                <w:rPr>
                  <w:rStyle w:val="InternetLink"/>
                  <w:rFonts w:ascii="Times New Roman;Times;serif" w:hAnsi="Times New Roman;Times;serif"/>
                  <w:color w:val="000000"/>
                  <w:sz w:val="20"/>
                </w:rPr>
                <w:t>MANAGEMENT’S DISCUSSION AND ANALYSIS OF FINANCIAL CONDITION AND RESULTS OF OPERATIONS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FC">
              <w:r>
                <w:rPr>
                  <w:rStyle w:val="InternetLink"/>
                  <w:rFonts w:ascii="Times New Roman;Times;serif" w:hAnsi="Times New Roman;Times;serif"/>
                  <w:color w:val="000000"/>
                  <w:sz w:val="20"/>
                </w:rPr>
                <w:t>157</w:t>
              </w:r>
            </w:hyperlink>
          </w:p>
        </w:tc>
      </w:tr>
      <w:tr>
        <w:trPr/>
        <w:tc>
          <w:tcPr>
            <w:tcW w:w="9489" w:type="dxa"/>
            <w:tcBorders/>
            <w:vAlign w:val="center"/>
          </w:tcPr>
          <w:p>
            <w:pPr>
              <w:pStyle w:val="TableContents"/>
              <w:bidi w:val="0"/>
              <w:spacing w:before="0" w:after="283"/>
              <w:ind w:left="0" w:right="0" w:hanging="0"/>
              <w:jc w:val="left"/>
              <w:rPr/>
            </w:pPr>
            <w:hyperlink w:anchor="tSEN">
              <w:r>
                <w:rPr>
                  <w:rStyle w:val="InternetLink"/>
                  <w:rFonts w:ascii="Times New Roman;Times;serif" w:hAnsi="Times New Roman;Times;serif"/>
                  <w:color w:val="000000"/>
                  <w:sz w:val="20"/>
                </w:rPr>
                <w:t>SENIOR SECURITIES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SEN">
              <w:r>
                <w:rPr>
                  <w:rStyle w:val="InternetLink"/>
                  <w:rFonts w:ascii="Times New Roman;Times;serif" w:hAnsi="Times New Roman;Times;serif"/>
                  <w:color w:val="000000"/>
                  <w:sz w:val="20"/>
                </w:rPr>
                <w:t>158</w:t>
              </w:r>
            </w:hyperlink>
          </w:p>
        </w:tc>
      </w:tr>
      <w:tr>
        <w:trPr/>
        <w:tc>
          <w:tcPr>
            <w:tcW w:w="9489" w:type="dxa"/>
            <w:tcBorders/>
            <w:shd w:fill="CCEEFF" w:val="clear"/>
            <w:vAlign w:val="center"/>
          </w:tcPr>
          <w:p>
            <w:pPr>
              <w:pStyle w:val="TableContents"/>
              <w:bidi w:val="0"/>
              <w:spacing w:before="0" w:after="283"/>
              <w:ind w:left="0" w:right="0" w:hanging="0"/>
              <w:jc w:val="left"/>
              <w:rPr/>
            </w:pPr>
            <w:hyperlink w:anchor="tPCR">
              <w:r>
                <w:rPr>
                  <w:rStyle w:val="InternetLink"/>
                  <w:rFonts w:ascii="Times New Roman;Times;serif" w:hAnsi="Times New Roman;Times;serif"/>
                  <w:color w:val="000000"/>
                  <w:sz w:val="20"/>
                </w:rPr>
                <w:t>PORTFOLIO COMPANIES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PCR">
              <w:r>
                <w:rPr>
                  <w:rStyle w:val="InternetLink"/>
                  <w:rFonts w:ascii="Times New Roman;Times;serif" w:hAnsi="Times New Roman;Times;serif"/>
                  <w:color w:val="000000"/>
                  <w:sz w:val="20"/>
                </w:rPr>
                <w:t>159</w:t>
              </w:r>
            </w:hyperlink>
          </w:p>
        </w:tc>
      </w:tr>
      <w:tr>
        <w:trPr/>
        <w:tc>
          <w:tcPr>
            <w:tcW w:w="9489" w:type="dxa"/>
            <w:tcBorders/>
            <w:vAlign w:val="center"/>
          </w:tcPr>
          <w:p>
            <w:pPr>
              <w:pStyle w:val="TableContents"/>
              <w:bidi w:val="0"/>
              <w:spacing w:before="0" w:after="283"/>
              <w:ind w:left="0" w:right="0" w:hanging="0"/>
              <w:jc w:val="left"/>
              <w:rPr/>
            </w:pPr>
            <w:hyperlink w:anchor="tMAR">
              <w:r>
                <w:rPr>
                  <w:rStyle w:val="InternetLink"/>
                  <w:rFonts w:ascii="Times New Roman;Times;serif" w:hAnsi="Times New Roman;Times;serif"/>
                  <w:color w:val="000000"/>
                  <w:sz w:val="20"/>
                </w:rPr>
                <w:t>MANAGEMENT AGREEMENTS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MAR">
              <w:r>
                <w:rPr>
                  <w:rStyle w:val="InternetLink"/>
                  <w:rFonts w:ascii="Times New Roman;Times;serif" w:hAnsi="Times New Roman;Times;serif"/>
                  <w:color w:val="000000"/>
                  <w:sz w:val="20"/>
                </w:rPr>
                <w:t>161</w:t>
              </w:r>
            </w:hyperlink>
          </w:p>
        </w:tc>
      </w:tr>
      <w:tr>
        <w:trPr/>
        <w:tc>
          <w:tcPr>
            <w:tcW w:w="9489" w:type="dxa"/>
            <w:tcBorders/>
            <w:shd w:fill="CCEEFF" w:val="clear"/>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PARTY TRANSACTIONS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RR">
              <w:r>
                <w:rPr>
                  <w:rStyle w:val="InternetLink"/>
                  <w:rFonts w:ascii="Times New Roman;Times;serif" w:hAnsi="Times New Roman;Times;serif"/>
                  <w:color w:val="000000"/>
                  <w:sz w:val="20"/>
                </w:rPr>
                <w:t>162</w:t>
              </w:r>
            </w:hyperlink>
          </w:p>
        </w:tc>
      </w:tr>
      <w:tr>
        <w:trPr/>
        <w:tc>
          <w:tcPr>
            <w:tcW w:w="9489" w:type="dxa"/>
            <w:tcBorders/>
            <w:vAlign w:val="center"/>
          </w:tcPr>
          <w:p>
            <w:pPr>
              <w:pStyle w:val="TableContents"/>
              <w:bidi w:val="0"/>
              <w:spacing w:before="0" w:after="283"/>
              <w:ind w:left="0" w:right="0" w:hanging="0"/>
              <w:jc w:val="left"/>
              <w:rPr/>
            </w:pPr>
            <w:hyperlink w:anchor="tCPP">
              <w:r>
                <w:rPr>
                  <w:rStyle w:val="InternetLink"/>
                  <w:rFonts w:ascii="Times New Roman;Times;serif" w:hAnsi="Times New Roman;Times;serif"/>
                  <w:color w:val="000000"/>
                  <w:sz w:val="20"/>
                </w:rPr>
                <w:t>CONTROL PERSONS AND PRINCIPAL SHAREHOLDERS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CPP">
              <w:r>
                <w:rPr>
                  <w:rStyle w:val="InternetLink"/>
                  <w:rFonts w:ascii="Times New Roman;Times;serif" w:hAnsi="Times New Roman;Times;serif"/>
                  <w:color w:val="000000"/>
                  <w:sz w:val="20"/>
                </w:rPr>
                <w:t>163</w:t>
              </w:r>
            </w:hyperlink>
          </w:p>
        </w:tc>
      </w:tr>
      <w:tr>
        <w:trPr/>
        <w:tc>
          <w:tcPr>
            <w:tcW w:w="9489" w:type="dxa"/>
            <w:tcBorders/>
            <w:shd w:fill="CCEEFF" w:val="clear"/>
            <w:vAlign w:val="center"/>
          </w:tcPr>
          <w:p>
            <w:pPr>
              <w:pStyle w:val="TableContents"/>
              <w:bidi w:val="0"/>
              <w:spacing w:before="0" w:after="283"/>
              <w:ind w:left="0" w:right="0" w:hanging="0"/>
              <w:jc w:val="left"/>
              <w:rPr/>
            </w:pPr>
            <w:hyperlink w:anchor="tMOR">
              <w:r>
                <w:rPr>
                  <w:rStyle w:val="InternetLink"/>
                  <w:rFonts w:ascii="Times New Roman;Times;serif" w:hAnsi="Times New Roman;Times;serif"/>
                  <w:color w:val="000000"/>
                  <w:sz w:val="20"/>
                </w:rPr>
                <w:t>MANAGEMENT OF REFI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MOR">
              <w:r>
                <w:rPr>
                  <w:rStyle w:val="InternetLink"/>
                  <w:rFonts w:ascii="Times New Roman;Times;serif" w:hAnsi="Times New Roman;Times;serif"/>
                  <w:color w:val="000000"/>
                  <w:sz w:val="20"/>
                </w:rPr>
                <w:t>165</w:t>
              </w:r>
            </w:hyperlink>
          </w:p>
        </w:tc>
      </w:tr>
      <w:tr>
        <w:trPr/>
        <w:tc>
          <w:tcPr>
            <w:tcW w:w="9489" w:type="dxa"/>
            <w:tcBorders/>
            <w:vAlign w:val="center"/>
          </w:tcPr>
          <w:p>
            <w:pPr>
              <w:pStyle w:val="TableContents"/>
              <w:bidi w:val="0"/>
              <w:spacing w:before="0" w:after="283"/>
              <w:ind w:left="0" w:right="0" w:hanging="0"/>
              <w:jc w:val="left"/>
              <w:rPr/>
            </w:pPr>
            <w:hyperlink w:anchor="tPMR">
              <w:r>
                <w:rPr>
                  <w:rStyle w:val="InternetLink"/>
                  <w:rFonts w:ascii="Times New Roman;Times;serif" w:hAnsi="Times New Roman;Times;serif"/>
                  <w:color w:val="000000"/>
                  <w:sz w:val="20"/>
                </w:rPr>
                <w:t>PORTFOLIO MANAGEMENT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PMR">
              <w:r>
                <w:rPr>
                  <w:rStyle w:val="InternetLink"/>
                  <w:rFonts w:ascii="Times New Roman;Times;serif" w:hAnsi="Times New Roman;Times;serif"/>
                  <w:color w:val="000000"/>
                  <w:sz w:val="20"/>
                </w:rPr>
                <w:t>166</w:t>
              </w:r>
            </w:hyperlink>
          </w:p>
        </w:tc>
      </w:tr>
      <w:tr>
        <w:trPr/>
        <w:tc>
          <w:tcPr>
            <w:tcW w:w="9489" w:type="dxa"/>
            <w:tcBorders/>
            <w:shd w:fill="CCEEFF" w:val="clear"/>
            <w:vAlign w:val="center"/>
          </w:tcPr>
          <w:p>
            <w:pPr>
              <w:pStyle w:val="TableContents"/>
              <w:bidi w:val="0"/>
              <w:spacing w:before="0" w:after="283"/>
              <w:ind w:left="0" w:right="0" w:hanging="0"/>
              <w:jc w:val="left"/>
              <w:rPr/>
            </w:pPr>
            <w:hyperlink w:anchor="tDCSL">
              <w:r>
                <w:rPr>
                  <w:rStyle w:val="InternetLink"/>
                  <w:rFonts w:ascii="Times New Roman;Times;serif" w:hAnsi="Times New Roman;Times;serif"/>
                  <w:color w:val="000000"/>
                  <w:sz w:val="20"/>
                </w:rPr>
                <w:t>DESCRIPTION OF CAPITAL STOCK OF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DCSL">
              <w:r>
                <w:rPr>
                  <w:rStyle w:val="InternetLink"/>
                  <w:rFonts w:ascii="Times New Roman;Times;serif" w:hAnsi="Times New Roman;Times;serif"/>
                  <w:color w:val="000000"/>
                  <w:sz w:val="20"/>
                </w:rPr>
                <w:t>169</w:t>
              </w:r>
            </w:hyperlink>
          </w:p>
        </w:tc>
      </w:tr>
      <w:tr>
        <w:trPr/>
        <w:tc>
          <w:tcPr>
            <w:tcW w:w="9489" w:type="dxa"/>
            <w:tcBorders/>
            <w:vAlign w:val="center"/>
          </w:tcPr>
          <w:p>
            <w:pPr>
              <w:pStyle w:val="TableContents"/>
              <w:bidi w:val="0"/>
              <w:spacing w:before="0" w:after="283"/>
              <w:ind w:left="0" w:right="0" w:hanging="0"/>
              <w:jc w:val="left"/>
              <w:rPr/>
            </w:pPr>
            <w:hyperlink w:anchor="tDCSR">
              <w:r>
                <w:rPr>
                  <w:rStyle w:val="InternetLink"/>
                  <w:rFonts w:ascii="Times New Roman;Times;serif" w:hAnsi="Times New Roman;Times;serif"/>
                  <w:color w:val="000000"/>
                  <w:sz w:val="20"/>
                </w:rPr>
                <w:t>DESCRIPTION OF CAPITAL STOCK OF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DCSR">
              <w:r>
                <w:rPr>
                  <w:rStyle w:val="InternetLink"/>
                  <w:rFonts w:ascii="Times New Roman;Times;serif" w:hAnsi="Times New Roman;Times;serif"/>
                  <w:color w:val="000000"/>
                  <w:sz w:val="20"/>
                </w:rPr>
                <w:t>176</w:t>
              </w:r>
            </w:hyperlink>
          </w:p>
        </w:tc>
      </w:tr>
      <w:tr>
        <w:trPr/>
        <w:tc>
          <w:tcPr>
            <w:tcW w:w="9489" w:type="dxa"/>
            <w:tcBorders/>
            <w:shd w:fill="CCEEFF" w:val="clear"/>
            <w:vAlign w:val="center"/>
          </w:tcPr>
          <w:p>
            <w:pPr>
              <w:pStyle w:val="TableContents"/>
              <w:bidi w:val="0"/>
              <w:spacing w:before="0" w:after="283"/>
              <w:ind w:left="0" w:right="0" w:hanging="0"/>
              <w:jc w:val="left"/>
              <w:rPr/>
            </w:pPr>
            <w:hyperlink w:anchor="tCLRS">
              <w:r>
                <w:rPr>
                  <w:rStyle w:val="InternetLink"/>
                  <w:rFonts w:ascii="Times New Roman;Times;serif" w:hAnsi="Times New Roman;Times;serif"/>
                  <w:color w:val="000000"/>
                  <w:sz w:val="20"/>
                </w:rPr>
                <w:t>COMPARISON OF LIEN AND REFI SHAREHOLDER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LRS">
              <w:r>
                <w:rPr>
                  <w:rStyle w:val="InternetLink"/>
                  <w:rFonts w:ascii="Times New Roman;Times;serif" w:hAnsi="Times New Roman;Times;serif"/>
                  <w:color w:val="000000"/>
                  <w:sz w:val="20"/>
                </w:rPr>
                <w:t>186</w:t>
              </w:r>
            </w:hyperlink>
          </w:p>
        </w:tc>
      </w:tr>
      <w:tr>
        <w:trPr/>
        <w:tc>
          <w:tcPr>
            <w:tcW w:w="9489" w:type="dxa"/>
            <w:tcBorders/>
            <w:vAlign w:val="center"/>
          </w:tcPr>
          <w:p>
            <w:pPr>
              <w:pStyle w:val="TableContents"/>
              <w:bidi w:val="0"/>
              <w:spacing w:before="0" w:after="283"/>
              <w:ind w:left="0" w:right="0" w:hanging="0"/>
              <w:jc w:val="left"/>
              <w:rPr/>
            </w:pPr>
            <w:hyperlink w:anchor="tREG">
              <w:r>
                <w:rPr>
                  <w:rStyle w:val="InternetLink"/>
                  <w:rFonts w:ascii="Times New Roman;Times;serif" w:hAnsi="Times New Roman;Times;serif"/>
                  <w:color w:val="000000"/>
                  <w:sz w:val="20"/>
                </w:rPr>
                <w:t>REGULATION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 w:type="dxa"/>
            <w:tcBorders/>
            <w:vAlign w:val="center"/>
          </w:tcPr>
          <w:p>
            <w:pPr>
              <w:pStyle w:val="TableContents"/>
              <w:bidi w:val="0"/>
              <w:spacing w:before="0" w:after="283"/>
              <w:jc w:val="right"/>
              <w:rPr/>
            </w:pPr>
            <w:hyperlink w:anchor="tREG">
              <w:r>
                <w:rPr>
                  <w:rStyle w:val="InternetLink"/>
                  <w:rFonts w:ascii="Times New Roman;Times;serif" w:hAnsi="Times New Roman;Times;serif"/>
                  <w:color w:val="000000"/>
                  <w:sz w:val="20"/>
                </w:rPr>
                <w:t>196</w:t>
              </w:r>
            </w:hyperlink>
          </w:p>
        </w:tc>
      </w:tr>
      <w:tr>
        <w:trPr/>
        <w:tc>
          <w:tcPr>
            <w:tcW w:w="9489" w:type="dxa"/>
            <w:tcBorders/>
            <w:shd w:fill="CCEEFF" w:val="clear"/>
            <w:vAlign w:val="center"/>
          </w:tcPr>
          <w:p>
            <w:pPr>
              <w:pStyle w:val="TableContents"/>
              <w:bidi w:val="0"/>
              <w:spacing w:before="0" w:after="283"/>
              <w:ind w:left="0" w:right="0" w:hanging="0"/>
              <w:jc w:val="left"/>
              <w:rPr/>
            </w:pPr>
            <w:hyperlink w:anchor="tCUS">
              <w:r>
                <w:rPr>
                  <w:rStyle w:val="InternetLink"/>
                  <w:rFonts w:ascii="Times New Roman;Times;serif" w:hAnsi="Times New Roman;Times;serif"/>
                  <w:color w:val="000000"/>
                  <w:sz w:val="20"/>
                </w:rPr>
                <w:t>CUSTODIAN, TRANSFER AND DISTRIBUTION AND PAYING AGENT AND REGISTRAR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283"/>
              <w:jc w:val="right"/>
              <w:rPr/>
            </w:pPr>
            <w:hyperlink w:anchor="tCUS">
              <w:r>
                <w:rPr>
                  <w:rStyle w:val="InternetLink"/>
                  <w:rFonts w:ascii="Times New Roman;Times;serif" w:hAnsi="Times New Roman;Times;serif"/>
                  <w:color w:val="000000"/>
                  <w:sz w:val="20"/>
                </w:rPr>
                <w:t>197</w:t>
              </w:r>
            </w:hyperlink>
          </w:p>
        </w:tc>
      </w:tr>
      <w:tr>
        <w:trPr/>
        <w:tc>
          <w:tcPr>
            <w:tcW w:w="948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7966x1_n14_105-toc_pg2"/>
        <w:bookmarkEnd w:id="15"/>
        <w:r>
          <w:rPr>
            <w:rStyle w:val="InternetLink"/>
            <w:rFonts w:ascii="Times New Roman;Times;Serif" w:hAnsi="Times New Roman;Times;Serif"/>
            <w:b/>
            <w:caps w:val="false"/>
            <w:smallCaps w:val="false"/>
            <w:color w:val="000000"/>
            <w:sz w:val="16"/>
          </w:rPr>
          <w:t>TABLE OF CONTENTS</w:t>
        </w:r>
      </w:hyperlink>
    </w:p>
    <w:tbl>
      <w:tblPr>
        <w:tblW w:w="8420" w:type="dxa"/>
        <w:jc w:val="left"/>
        <w:tblInd w:w="0" w:type="dxa"/>
        <w:tblLayout w:type="fixed"/>
        <w:tblCellMar>
          <w:top w:w="0" w:type="dxa"/>
          <w:left w:w="0" w:type="dxa"/>
          <w:bottom w:w="0" w:type="dxa"/>
          <w:right w:w="0" w:type="dxa"/>
        </w:tblCellMar>
      </w:tblPr>
      <w:tblGrid>
        <w:gridCol w:w="7220"/>
        <w:gridCol w:w="140"/>
        <w:gridCol w:w="140"/>
        <w:gridCol w:w="920"/>
      </w:tblGrid>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7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220" w:type="dxa"/>
            <w:tcBorders/>
            <w:shd w:fill="CCEEFF" w:val="clear"/>
            <w:vAlign w:val="center"/>
          </w:tcPr>
          <w:p>
            <w:pPr>
              <w:pStyle w:val="TableContents"/>
              <w:bidi w:val="0"/>
              <w:spacing w:before="0" w:after="283"/>
              <w:ind w:left="0" w:right="0" w:hanging="0"/>
              <w:jc w:val="left"/>
              <w:rPr/>
            </w:pPr>
            <w:hyperlink w:anchor="tBRO">
              <w:r>
                <w:rPr>
                  <w:rStyle w:val="InternetLink"/>
                  <w:rFonts w:ascii="Times New Roman;Times;serif" w:hAnsi="Times New Roman;Times;serif"/>
                  <w:color w:val="000000"/>
                  <w:sz w:val="20"/>
                </w:rPr>
                <w:t>BROKERAGE ALLOCATION AND OTHER PRACTICES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BRO">
              <w:r>
                <w:rPr>
                  <w:rStyle w:val="InternetLink"/>
                  <w:rFonts w:ascii="Times New Roman;Times;serif" w:hAnsi="Times New Roman;Times;serif"/>
                  <w:color w:val="000000"/>
                  <w:sz w:val="20"/>
                </w:rPr>
                <w:t>198</w:t>
              </w:r>
            </w:hyperlink>
          </w:p>
        </w:tc>
      </w:tr>
      <w:tr>
        <w:trPr/>
        <w:tc>
          <w:tcPr>
            <w:tcW w:w="722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LM">
              <w:r>
                <w:rPr>
                  <w:rStyle w:val="InternetLink"/>
                  <w:rFonts w:ascii="Times New Roman;Times;serif" w:hAnsi="Times New Roman;Times;serif"/>
                  <w:color w:val="000000"/>
                  <w:sz w:val="20"/>
                </w:rPr>
                <w:t>199</w:t>
              </w:r>
            </w:hyperlink>
          </w:p>
        </w:tc>
      </w:tr>
      <w:tr>
        <w:trPr/>
        <w:tc>
          <w:tcPr>
            <w:tcW w:w="722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EXP">
              <w:r>
                <w:rPr>
                  <w:rStyle w:val="InternetLink"/>
                  <w:rFonts w:ascii="Times New Roman;Times;serif" w:hAnsi="Times New Roman;Times;serif"/>
                  <w:color w:val="000000"/>
                  <w:sz w:val="20"/>
                </w:rPr>
                <w:t>200</w:t>
              </w:r>
            </w:hyperlink>
          </w:p>
        </w:tc>
      </w:tr>
      <w:tr>
        <w:trPr/>
        <w:tc>
          <w:tcPr>
            <w:tcW w:w="722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OM">
              <w:r>
                <w:rPr>
                  <w:rStyle w:val="InternetLink"/>
                  <w:rFonts w:ascii="Times New Roman;Times;serif" w:hAnsi="Times New Roman;Times;serif"/>
                  <w:color w:val="000000"/>
                  <w:sz w:val="20"/>
                </w:rPr>
                <w:t>201</w:t>
              </w:r>
            </w:hyperlink>
          </w:p>
        </w:tc>
      </w:tr>
      <w:tr>
        <w:trPr/>
        <w:tc>
          <w:tcPr>
            <w:tcW w:w="7220" w:type="dxa"/>
            <w:tcBorders/>
            <w:shd w:fill="CCEEFF" w:val="clear"/>
            <w:vAlign w:val="center"/>
          </w:tcPr>
          <w:p>
            <w:pPr>
              <w:pStyle w:val="TableContents"/>
              <w:bidi w:val="0"/>
              <w:spacing w:before="0" w:after="283"/>
              <w:ind w:left="0" w:right="0" w:hanging="0"/>
              <w:jc w:val="left"/>
              <w:rPr/>
            </w:pPr>
            <w:hyperlink w:anchor="tSSA">
              <w:r>
                <w:rPr>
                  <w:rStyle w:val="InternetLink"/>
                  <w:rFonts w:ascii="Times New Roman;Times;serif" w:hAnsi="Times New Roman;Times;serif"/>
                  <w:color w:val="000000"/>
                  <w:sz w:val="20"/>
                </w:rPr>
                <w:t>SHAREHOLDERS SHARING AN ADDRESS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SSA">
              <w:r>
                <w:rPr>
                  <w:rStyle w:val="InternetLink"/>
                  <w:rFonts w:ascii="Times New Roman;Times;serif" w:hAnsi="Times New Roman;Times;serif"/>
                  <w:color w:val="000000"/>
                  <w:sz w:val="20"/>
                </w:rPr>
                <w:t>202</w:t>
              </w:r>
            </w:hyperlink>
          </w:p>
        </w:tc>
      </w:tr>
      <w:tr>
        <w:trPr/>
        <w:tc>
          <w:tcPr>
            <w:tcW w:w="722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WYC">
              <w:r>
                <w:rPr>
                  <w:rStyle w:val="InternetLink"/>
                  <w:rFonts w:ascii="Times New Roman;Times;serif" w:hAnsi="Times New Roman;Times;serif"/>
                  <w:color w:val="000000"/>
                  <w:sz w:val="20"/>
                </w:rPr>
                <w:t>203</w:t>
              </w:r>
            </w:hyperlink>
          </w:p>
        </w:tc>
      </w:tr>
      <w:tr>
        <w:trPr/>
        <w:tc>
          <w:tcPr>
            <w:tcW w:w="7220" w:type="dxa"/>
            <w:tcBorders/>
            <w:shd w:fill="CCEEFF" w:val="clear"/>
            <w:vAlign w:val="center"/>
          </w:tcPr>
          <w:p>
            <w:pPr>
              <w:pStyle w:val="TableContents"/>
              <w:bidi w:val="0"/>
              <w:spacing w:before="0" w:after="283"/>
              <w:ind w:left="0" w:right="0" w:hanging="0"/>
              <w:jc w:val="left"/>
              <w:rPr/>
            </w:pPr>
            <w:hyperlink w:anchor="tIBRL">
              <w:r>
                <w:rPr>
                  <w:rStyle w:val="InternetLink"/>
                  <w:rFonts w:ascii="Times New Roman;Times;serif" w:hAnsi="Times New Roman;Times;serif"/>
                  <w:color w:val="000000"/>
                  <w:sz w:val="20"/>
                </w:rPr>
                <w:t>INCORPORATION BY REFERENCE FOR LIEN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IBRL">
              <w:r>
                <w:rPr>
                  <w:rStyle w:val="InternetLink"/>
                  <w:rFonts w:ascii="Times New Roman;Times;serif" w:hAnsi="Times New Roman;Times;serif"/>
                  <w:color w:val="000000"/>
                  <w:sz w:val="20"/>
                </w:rPr>
                <w:t>204</w:t>
              </w:r>
            </w:hyperlink>
          </w:p>
        </w:tc>
      </w:tr>
      <w:tr>
        <w:trPr/>
        <w:tc>
          <w:tcPr>
            <w:tcW w:w="7220" w:type="dxa"/>
            <w:tcBorders/>
            <w:vAlign w:val="center"/>
          </w:tcPr>
          <w:p>
            <w:pPr>
              <w:pStyle w:val="TableContents"/>
              <w:bidi w:val="0"/>
              <w:spacing w:before="0" w:after="283"/>
              <w:ind w:left="0" w:right="0" w:hanging="0"/>
              <w:jc w:val="left"/>
              <w:rPr/>
            </w:pPr>
            <w:hyperlink w:anchor="tIBRR">
              <w:r>
                <w:rPr>
                  <w:rStyle w:val="InternetLink"/>
                  <w:rFonts w:ascii="Times New Roman;Times;serif" w:hAnsi="Times New Roman;Times;serif"/>
                  <w:color w:val="000000"/>
                  <w:sz w:val="20"/>
                </w:rPr>
                <w:t>INCORPORATION BY REFERENCE FOR REFI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IBRR">
              <w:r>
                <w:rPr>
                  <w:rStyle w:val="InternetLink"/>
                  <w:rFonts w:ascii="Times New Roman;Times;serif" w:hAnsi="Times New Roman;Times;serif"/>
                  <w:color w:val="000000"/>
                  <w:sz w:val="20"/>
                </w:rPr>
                <w:t>205</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XA">
              <w:r>
                <w:rPr>
                  <w:rStyle w:val="InternetLink"/>
                  <w:rFonts w:ascii="Times New Roman;Times;serif" w:hAnsi="Times New Roman;Times;serif"/>
                  <w:color w:val="000000"/>
                  <w:sz w:val="20"/>
                </w:rPr>
                <w:t>ANNEX A: 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ANXA">
              <w:r>
                <w:rPr>
                  <w:rStyle w:val="InternetLink"/>
                  <w:rFonts w:ascii="Times New Roman;Times;serif" w:hAnsi="Times New Roman;Times;serif"/>
                  <w:color w:val="000000"/>
                  <w:sz w:val="20"/>
                </w:rPr>
                <w:t>A-1</w:t>
              </w:r>
            </w:hyperlink>
          </w:p>
        </w:tc>
      </w:tr>
      <w:tr>
        <w:trPr/>
        <w:tc>
          <w:tcPr>
            <w:tcW w:w="7220" w:type="dxa"/>
            <w:tcBorders/>
            <w:vAlign w:val="center"/>
          </w:tcPr>
          <w:p>
            <w:pPr>
              <w:pStyle w:val="TableContents"/>
              <w:bidi w:val="0"/>
              <w:spacing w:before="0" w:after="283"/>
              <w:ind w:left="0" w:right="0" w:hanging="0"/>
              <w:jc w:val="left"/>
              <w:rPr/>
            </w:pPr>
            <w:hyperlink w:anchor="tANXB">
              <w:r>
                <w:rPr>
                  <w:rStyle w:val="InternetLink"/>
                  <w:rFonts w:ascii="Times New Roman;Times;serif" w:hAnsi="Times New Roman;Times;serif"/>
                  <w:color w:val="000000"/>
                  <w:sz w:val="20"/>
                </w:rPr>
                <w:t>ANNEX B: OPINION OF FINANCIAL ADVISOR TO THE LIEN SPECIAL COMMITTEE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ANXB">
              <w:r>
                <w:rPr>
                  <w:rStyle w:val="InternetLink"/>
                  <w:rFonts w:ascii="Times New Roman;Times;serif" w:hAnsi="Times New Roman;Times;serif"/>
                  <w:color w:val="000000"/>
                  <w:sz w:val="20"/>
                </w:rPr>
                <w:t>B-1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XC">
              <w:r>
                <w:rPr>
                  <w:rStyle w:val="InternetLink"/>
                  <w:rFonts w:ascii="Times New Roman;Times;serif" w:hAnsi="Times New Roman;Times;serif"/>
                  <w:color w:val="000000"/>
                  <w:sz w:val="20"/>
                </w:rPr>
                <w:t>ANNEX C: OPINION OF FINANCIAL ADVISOR TO THE REFI SPECIAL COMMITTEE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ANXC">
              <w:r>
                <w:rPr>
                  <w:rStyle w:val="InternetLink"/>
                  <w:rFonts w:ascii="Times New Roman;Times;serif" w:hAnsi="Times New Roman;Times;serif"/>
                  <w:color w:val="000000"/>
                  <w:sz w:val="20"/>
                </w:rPr>
                <w:t>C-1</w:t>
              </w:r>
            </w:hyperlink>
          </w:p>
        </w:tc>
      </w:tr>
      <w:tr>
        <w:trPr/>
        <w:tc>
          <w:tcPr>
            <w:tcW w:w="7220" w:type="dxa"/>
            <w:tcBorders/>
            <w:vAlign w:val="center"/>
          </w:tcPr>
          <w:p>
            <w:pPr>
              <w:pStyle w:val="TableContents"/>
              <w:bidi w:val="0"/>
              <w:spacing w:before="0" w:after="283"/>
              <w:ind w:left="0" w:right="0" w:hanging="0"/>
              <w:jc w:val="left"/>
              <w:rPr/>
            </w:pPr>
            <w:hyperlink w:anchor="tANXD">
              <w:r>
                <w:rPr>
                  <w:rStyle w:val="InternetLink"/>
                  <w:rFonts w:ascii="Times New Roman;Times;serif" w:hAnsi="Times New Roman;Times;serif"/>
                  <w:color w:val="000000"/>
                  <w:sz w:val="20"/>
                </w:rPr>
                <w:t>ANNEX D: FORM OF NEW BDC ADVISORY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right"/>
              <w:rPr/>
            </w:pPr>
            <w:hyperlink w:anchor="tANXD">
              <w:r>
                <w:rPr>
                  <w:rStyle w:val="InternetLink"/>
                  <w:rFonts w:ascii="Times New Roman;Times;serif" w:hAnsi="Times New Roman;Times;serif"/>
                  <w:color w:val="000000"/>
                  <w:sz w:val="20"/>
                </w:rPr>
                <w:t>D-1</w:t>
              </w:r>
            </w:hyperlink>
          </w:p>
        </w:tc>
      </w:tr>
      <w:tr>
        <w:trPr/>
        <w:tc>
          <w:tcPr>
            <w:tcW w:w="7220" w:type="dxa"/>
            <w:tcBorders/>
            <w:shd w:fill="CCEEFF" w:val="clear"/>
            <w:vAlign w:val="center"/>
          </w:tcPr>
          <w:p>
            <w:pPr>
              <w:pStyle w:val="TableContents"/>
              <w:bidi w:val="0"/>
              <w:spacing w:before="0" w:after="283"/>
              <w:ind w:left="0" w:right="0" w:hanging="0"/>
              <w:jc w:val="left"/>
              <w:rPr/>
            </w:pPr>
            <w:hyperlink w:anchor="tPCO">
              <w:r>
                <w:rPr>
                  <w:rStyle w:val="InternetLink"/>
                  <w:rFonts w:ascii="Times New Roman;Times;serif" w:hAnsi="Times New Roman;Times;serif"/>
                  <w:color w:val="000000"/>
                  <w:sz w:val="20"/>
                </w:rPr>
                <w:t>PART C: OTHER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jc w:val="right"/>
              <w:rPr/>
            </w:pPr>
            <w:hyperlink w:anchor="tPCO">
              <w:r>
                <w:rPr>
                  <w:rStyle w:val="InternetLink"/>
                  <w:rFonts w:ascii="Times New Roman;Times;serif" w:hAnsi="Times New Roman;Times;serif"/>
                  <w:color w:val="000000"/>
                  <w:sz w:val="20"/>
                </w:rPr>
                <w:t>PART C- 1</w:t>
              </w:r>
            </w:hyperlink>
          </w:p>
        </w:tc>
      </w:tr>
      <w:tr>
        <w:trPr/>
        <w:tc>
          <w:tcPr>
            <w:tcW w:w="7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7966x1_n14_106-about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ABT"/>
      <w:bookmarkEnd w:id="17"/>
      <w:r>
        <w:rPr>
          <w:rFonts w:ascii="Times New Roman;Times;serif" w:hAnsi="Times New Roman;Times;serif"/>
          <w:b/>
          <w:color w:val="000000"/>
          <w:sz w:val="20"/>
        </w:rPr>
        <w:t xml:space="preserve">ABOUT THIS DOCUMENT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document, which forms part of a registration statement on Form N-14 filed with the U.S. Securities and Exchange Commission (the “SEC”) by LIEN (File No. 333-[  ]), constitutes a prospectus of LIEN under Section 5 of the Securities Act of 1933, as amended (the “Securities Act”), with respect to the shares of LIEN Common Stock to be issued to REFI Shareholders as required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document also constitutes a joint proxy statement of LIEN and REFI under Section 14(a) of the Securities Exchange Act of 1934, as amended (the “Exchange Act”). It also constitutes a notice of meeting with respect to: (1) a special meeting of LIEN Shareholders (the “LIEN Special Meeting”), at which LIEN Shareholders will be asked to vote upon (i) the issuance of the LIEN Common Stock pursuant to the Merger Agreement (such proposal, the “Merger Stock Issuance Proposal”) (ii) the Merger Agreement, including the Merger and related transactions and (iii) the adjournment of the LIEN Special Meeting, if necessary or appropriate, to solicit additional proxies if there are insufficient votes to approve the foregoing proposals (the “LIEN Adjournment Proposal”) (collectively with the Merger Stock Issuance Proposal and the Merger Agreement, the “LIEN Proposals”); and (2) a special meeting of REFI Shareholders (the “REFI Special Meeting”), at which REFI Shareholders will be asked to vote on (i) REFI’s election (the “BDC Election”) to be regulated as a business development company under the Investment Company Act of 1940, as amended (the “1940 Act”), by filing a Form N-54A with the SEC (such proposal, the “BDC Election Proposal”), (ii) a new 1940 Act compliant investment advisory agreement by and between REFI and LIEN Adviser (such proposal, the “New BDC Advisory Agreement Proposal”), (iii) the adoption of the Merger Agreement, pursuant to which the Merger will be consummated (such proposal, the “Merger Proposal”) and (iv) the adjournment of the REFI Special Meeting, from time to time, if necessary or appropriate, including (a) to permit the filing and SEC acceptance of the BDC Election and the REFI Board’s consideration and adoption of the approvals required to be made by the REFI Board pursuant to Rule 17a-8 of the 1940 Act prior to the vote on the Merger Proposal, and (b) to solicit additional proxies if there are insufficient votes to approve the BDC Election Proposal, the New BDC Advisory Agreement Proposal and the Merger Proposal (such proposal, the “REFI Adjournment Proposal” and together with the BDC Election Proposal, the New BDC Advisory Agreement Proposal and the Merger Proposal, the “REFI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this joint proxy statement/prospectus, including in determining how to vote your shares of LIEN Common Stock or REFI Common Stock, as applicable. No one has been authorized to provide you with information that is different from that contained in this joint proxy statement/prospectus. This joint proxy statement/prospectus is dated [   ], 2026. You should not assume that the information contained in this joint proxy statement/prospectus is accurate as of any date other than that date. Neither the mailing of this joint proxy statement/prospectus to LIEN Shareholders or REFI Shareholders nor the issuance of LIEN Common Stock in connection with the Merger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where the context otherwise indicates, information contained in this joint proxy statement/prospectus regarding LIEN has been provided by LIEN and information contained in this joint proxy statement/prospectus regarding REFI has been provided by REFI.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used in this document, unless otherwise indicated in this document or the context otherwise requires: </w:t>
      </w:r>
    </w:p>
    <w:tbl>
      <w:tblPr>
        <w:tblW w:w="5665" w:type="dxa"/>
        <w:jc w:val="left"/>
        <w:tblInd w:w="0" w:type="dxa"/>
        <w:tblLayout w:type="fixed"/>
        <w:tblCellMar>
          <w:top w:w="0" w:type="dxa"/>
          <w:left w:w="0" w:type="dxa"/>
          <w:bottom w:w="0" w:type="dxa"/>
          <w:right w:w="0" w:type="dxa"/>
        </w:tblCellMar>
      </w:tblPr>
      <w:tblGrid>
        <w:gridCol w:w="110"/>
        <w:gridCol w:w="5555"/>
      </w:tblGrid>
      <w:tr>
        <w:trPr/>
        <w:tc>
          <w:tcPr>
            <w:tcW w:w="11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Advisers” refers, collectively, to LIEN Adviser and REFI Manager;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Affiliate” of a Person refers to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BDC” refers to a business development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BDC Election” refers to REFI’s election to be regulated as a BDC under the 1940 Act, by filing a Form N-54A with the SEC;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BDC Election Matters” refers to the BDC Election and the New BDC Advisory Agreement;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BDC Election Proposal” has the meaning set forth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7966x1_n14_106-about_pg2"/>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BDC Election Time” refers to the date and time when the Form N-54A relating to the BDC Election has been accepted for filing by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Business Day” refers to any day other than a Saturday or Sunday or a day on which banks are required or authorized to close in The City of New York;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Cancelled Shares” refers to shares of REFI Common Stock owned by LIEN or any of its consolidated subsidiaries, which are not converted into the right to receive the Merger Consideration in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Chicago Atlantic” refers, collectively, to the activities and operations of Chicago Atlantic Group, LP, of which LIEN Adviser and REFI Manager are indirect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Closing Date” refers to the date of the closing of the Merger, which shall take place at 10:00 a.m. Eastern Time, via the electronic exchange of documents and executed signature pages, on the date that is five (5) Business Days after the satisfaction or waiver of the latest to occur of the conditions required to be met for the closing of the Merger (other than those conditions that by their nature are to be satisfied at the Closing, but subject to the satisfaction or waiver of such conditions), unless otherwise agreed in writing by the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Closing LIEN NAV” refers to the calculation of LIEN’s NAV per share as of the Determination Date, calculated in good faith as of such date and based on the valuation principles, assumptions and methodologies, and applying the categories of adjustments to NAV, as set forth in Exhibit A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Closing REFI NAV” refers to the calculation of REFI’s adjusted book value per share as of the Determination Date, calculated in good faith as of such date and based on the valuation principles, assumptions and methodologies, and giving effect to the categories of adjustments, set forth in Exhibit A of the Merger Agreement, including to record REFI’s investment portfolio at fair value in accordance with Financial Accounting Standards Board’s Accounting Standards Codification 820 and 946;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Code” refers to the Internal Revenue Code of 1986,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Control” refers to the possession, directly or indirectly, of the power to direct or cause the direction of the management and policies of a Person, whether through the ownership of voting securities, by contract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Determination Date” refers to an agreed upon date no earlier than 48 hours (excluding Sundays and holidays) prior to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Eversheds Sutherland” refers to Eversheds Sutherland (US) LLP, legal counsel to the LIEN Board and LIEN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Exchange Ratio” refers to the ratio (rounded to the fourth decimal place) of the Closing REFI NAV to the Closing LIEN NAV, subject to adjustment as set forth in the Merger Agreement;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refers to generally accepted accounting principles in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Governmental Entity” refers to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 </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KBW” refers to Keefe, Bruyette &amp; Woods, Inc., financial advisor to the LIEN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Koach Transaction” has the meaning set forth in “Summary of the Merger — The Parties to the Merger — Chicago Atlantic Real Estate Finance, Inc.”;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refers to Chicago Atlantic BDC, Inc.;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Administration Agreement” refers to the administration agreement by and between LIEN and LIEN Adviser, dated July 27, 2021;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Adviser” refers to Chicago Atlantic BDC Advisers, LLC, the investment adviser to LIEN;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Board” refers to the board of directors of LIEN;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7966x1_n14_106-about_pg3"/>
        <w:bookmarkEnd w:id="19"/>
        <w:r>
          <w:rPr>
            <w:rStyle w:val="InternetLink"/>
            <w:rFonts w:ascii="Times New Roman;Times;Serif" w:hAnsi="Times New Roman;Times;Serif"/>
            <w:b/>
            <w:caps w:val="false"/>
            <w:smallCaps w:val="false"/>
            <w:color w:val="000000"/>
            <w:sz w:val="16"/>
          </w:rPr>
          <w:t>TABLE OF CONTENTS</w:t>
        </w:r>
      </w:hyperlink>
    </w:p>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Bylaws” refers to the Second Amended and Restated Bylaws of LIEN;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Charter” refers to the Articles of Amendment and Restatement of LIEN;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Common Stock” refers to shares of LIEN common stock, par value $0.01 per share;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Independent Directors” refers to the independent members of the LIEN Board in their capacity as such;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Investment Advisory Agreement” refers to the investment advisory agreement by and between LIEN and LIEN Adviser, dated October 1, 2024;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LIEN Shareholders” refers to the holders of LIEN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Special Committee” refers to the special committee of the LIEN Board comprised of the LIEN Independent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Unaffiliated Shareholders” refers to the holders of LIEN Common Stock, excluding LIEN, LIEN Adviser, REFI, REFI Manager, any director or executive officer of any of the foregoing, any shareholder that has executed a Support Agreement or any of their respective Affiliates;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refers to the merger of REFI with and into LIEN, with LIEN as the surviving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refers to the Agreement and Plan of Merger, dated June 17, 2026, by and among LIEN, REFI, LIEN Adviser (for the limited purposes set forth therein) and REFI Manager (for the limited purposes set forth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Consideration” refers to the shares of LIEN Common Stock (and cash in lieu of fractional shares) to be received by REFI Shareholders in the Merger, in accordance with the Exchange Ratio;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Effective Time” refers to the effective time of the Merger;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Proposal” has the meaning set forth above;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MGCL” refers to the Maryland General Corporation Law, as amended;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NASDAQ” refers to the Nasdaq Global Market;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NAV” refers to net asset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New BDC Advisory Agreement” refers to the new 1940 Act compliant investment advisory agreement by and between REFI and LIEN Adviser to be entered into in connection with the BDC Election; </w:t>
            </w:r>
          </w:p>
        </w:tc>
      </w:tr>
    </w:tbl>
    <w:tbl>
      <w:tblPr>
        <w:tblW w:w="6325" w:type="dxa"/>
        <w:jc w:val="left"/>
        <w:tblInd w:w="0" w:type="dxa"/>
        <w:tblLayout w:type="fixed"/>
        <w:tblCellMar>
          <w:top w:w="0" w:type="dxa"/>
          <w:left w:w="0" w:type="dxa"/>
          <w:bottom w:w="0" w:type="dxa"/>
          <w:right w:w="0" w:type="dxa"/>
        </w:tblCellMar>
      </w:tblPr>
      <w:tblGrid>
        <w:gridCol w:w="110"/>
        <w:gridCol w:w="6215"/>
      </w:tblGrid>
      <w:tr>
        <w:trPr/>
        <w:tc>
          <w:tcPr>
            <w:tcW w:w="110" w:type="dxa"/>
            <w:tcBorders/>
            <w:vAlign w:val="center"/>
          </w:tcPr>
          <w:p>
            <w:pPr>
              <w:pStyle w:val="TableContents"/>
              <w:bidi w:val="0"/>
              <w:spacing w:before="0" w:after="0"/>
              <w:jc w:val="left"/>
              <w:rPr>
                <w:color w:val="000000"/>
              </w:rPr>
            </w:pPr>
            <w:r>
              <w:rPr>
                <w:color w:val="000000"/>
              </w:rPr>
              <w:t>•</w:t>
            </w:r>
          </w:p>
        </w:tc>
        <w:tc>
          <w:tcPr>
            <w:tcW w:w="62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New BDC Advisory Agreement Proposal” has the meaning set forth above; </w:t>
            </w:r>
          </w:p>
        </w:tc>
      </w:tr>
    </w:tbl>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Nixon Peabody” refers to Nixon Peabody LLP, legal counsel to the REFI Special Committee;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Oppenheimer” refers to Oppenheimer &amp; Co. Inc., financial advisor to the REFI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Person” refers to an individual, a (general or limited) partnership, a corporation, a limited liability company, an association, a trust, a joint venture, a Governmental Entity or other legal entity or 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Post-BDC Election Approvals” refers to the approvals required to be made by the REFI Board (upon recommendation of the REFI Special Committee) pursuant to Rule 17a-8 under the 1940 Act following the BDC Election Time and prior to the Merger Effective Time;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refers to Chicago Atlantic Real Estate Finance, Inc. and, where applicable, its consolidated subsidiaries;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Adjournment Proposal” has the meaning set forth above;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Board” refers to the board of directors of REFI;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Bylaws” refers to the Amended and Restated Bylaws of REFI;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Charter” refers to the Articles of Amendment and Restatement of REFI; </w:t>
            </w:r>
          </w:p>
        </w:tc>
      </w:tr>
    </w:tbl>
    <w:tbl>
      <w:tblPr>
        <w:tblW w:w="7405" w:type="dxa"/>
        <w:jc w:val="left"/>
        <w:tblInd w:w="0" w:type="dxa"/>
        <w:tblLayout w:type="fixed"/>
        <w:tblCellMar>
          <w:top w:w="0" w:type="dxa"/>
          <w:left w:w="0" w:type="dxa"/>
          <w:bottom w:w="0" w:type="dxa"/>
          <w:right w:w="0" w:type="dxa"/>
        </w:tblCellMar>
      </w:tblPr>
      <w:tblGrid>
        <w:gridCol w:w="110"/>
        <w:gridCol w:w="7295"/>
      </w:tblGrid>
      <w:tr>
        <w:trPr/>
        <w:tc>
          <w:tcPr>
            <w:tcW w:w="11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Common Stock” refers to shares of REFI common stock, par value $0.01 per share;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7966x1_n14_106-about_pg4"/>
        <w:bookmarkEnd w:id="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Core Earnings” refers to REFI’s net income (loss) for the applicable period, computed in accordance with GAAP, excluding (i) non-cash equity compensation expense, (ii) the incentive compensation payable to REFI Manager under the REFI Management Agreement (the “REFI Incentive Fee”),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Incentive Plan” refers to the Chicago Atlantic Real Estate Finance, Inc. 2021 Omnibus Incentive Plan, as may be amended from time to time;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Independent Directors” refers to the independent members of the REFI Board in their capacity as such;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Manager” refers to Chicago Atlantic REIT Manager, LLC, the investment manager to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Management Agreement” refers to the management agreement between REFI and REFI Manager in effect as of the date of this joint proxy statement/prospectus, which will terminate automatically at the BDC Election Time; </w:t>
            </w:r>
          </w:p>
        </w:tc>
      </w:tr>
    </w:tbl>
    <w:tbl>
      <w:tblPr>
        <w:tblW w:w="4285" w:type="dxa"/>
        <w:jc w:val="left"/>
        <w:tblInd w:w="0" w:type="dxa"/>
        <w:tblLayout w:type="fixed"/>
        <w:tblCellMar>
          <w:top w:w="0" w:type="dxa"/>
          <w:left w:w="0" w:type="dxa"/>
          <w:bottom w:w="0" w:type="dxa"/>
          <w:right w:w="0" w:type="dxa"/>
        </w:tblCellMar>
      </w:tblPr>
      <w:tblGrid>
        <w:gridCol w:w="110"/>
        <w:gridCol w:w="4175"/>
      </w:tblGrid>
      <w:tr>
        <w:trPr/>
        <w:tc>
          <w:tcPr>
            <w:tcW w:w="11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Proposals” has the meaning set forth above;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Restricted Stock” refers to shares of restricted stock of REFI issued pursuant to the REFI Incentive Plan;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REFI Shareholders” refers to the holders of REFI Common Stock; </w:t>
            </w:r>
          </w:p>
        </w:tc>
      </w:tr>
    </w:tbl>
    <w:tbl>
      <w:tblPr>
        <w:tblW w:w="10165" w:type="dxa"/>
        <w:jc w:val="left"/>
        <w:tblInd w:w="0" w:type="dxa"/>
        <w:tblLayout w:type="fixed"/>
        <w:tblCellMar>
          <w:top w:w="0" w:type="dxa"/>
          <w:left w:w="0" w:type="dxa"/>
          <w:bottom w:w="0" w:type="dxa"/>
          <w:right w:w="0" w:type="dxa"/>
        </w:tblCellMar>
      </w:tblPr>
      <w:tblGrid>
        <w:gridCol w:w="110"/>
        <w:gridCol w:w="10055"/>
      </w:tblGrid>
      <w:tr>
        <w:trPr/>
        <w:tc>
          <w:tcPr>
            <w:tcW w:w="11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Special Committee” refers to the special committee of the REFI Board comprised of the REFI Independent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Unaffiliated Shareholders” refers to the holders of REFI Common Stock, excluding LIEN, LIEN Adviser, REFI, REFI Manager, any director or executive officer of any of the foregoing, any shareholder that has executed a Support Agreement or any of their respective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Registration Statement” refers to the registration statement on Form N-14 filed with the SEC by LIEN, of which this joint proxy statement/prospectus forms a part;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REIT” refers to a real estate investment trust;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RIC” refers to a regulated investment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Sequencing Adjournment” has the meaning set forth in “REFI Proposal IV — Approval of the REFI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Solicitation Adjournment” has the meaning set forth in “REFI Proposal IV — Approval of the REFI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Support Agreements” refer to the Voting and Support Agreements, dated as of June 17, 2026, entered into with LIEN and REFI, respectively, by (i) each of LIEN Adviser, John Mazarakis, Anthony Cappell and Scott Gordon, in its/his capacity as a shareholder of LIEN; and (ii) each of John Mazarakis, Anthony Cappell, David Kite, Peter Sack and Phil Silverman, in his capacity as a shareholder of REFI, pursuant to which, among other things, it/he is agreeing to vote its/his shares of LIEN Common Stock and REFI Common Stock in favor of the LIEN Proposals and REFI Proposals;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Tax Dividend” refers to a dividend or dividends, with respect to any applicable tax year, that shall have the effect of (i) distributing to the REFI Shareholders all of REFI’s previously undistributed “earnings and profits” for U.S. federal income tax purposes described in Section 852(a)(2)(B) of the Code, (ii) providing REFI a deduction for dividends paid under Section 561 of the Code sufficient to reduce both its REIT taxable income and its net capital gain (if any) to zero for its taxable year ending with the Merger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7966x1_n14_107-qa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QA"/>
      <w:bookmarkEnd w:id="22"/>
      <w:r>
        <w:rPr>
          <w:rFonts w:ascii="Times New Roman;Times;serif" w:hAnsi="Times New Roman;Times;serif"/>
          <w:b/>
          <w:color w:val="000000"/>
          <w:sz w:val="20"/>
        </w:rPr>
        <w:t xml:space="preserve">QUESTIONS AND ANSWERS ABOUT THE SPECIAL MEETINGS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questions and answers below highlight only selected information from this joint proxy statement/prospectus. They do not contain all of the information that may be important to you. You should read carefully this entire document to fully understand the Merger Agreement and the transactions contemplated thereby (including the Merger) and the voting procedures for each of the LIEN Special Meeting and the REFI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Introduction and Proposals</w:t>
      </w:r>
      <w:r>
        <w:rPr>
          <w:rFonts w:ascii="Times New Roman;Times;serif" w:hAnsi="Times New Roman;Times;serif"/>
          <w:b/>
          <w:color w:val="000000"/>
          <w:sz w:val="20"/>
        </w:rPr>
        <w:t xml:space="preserve"> </w:t>
      </w:r>
    </w:p>
    <w:tbl>
      <w:tblPr>
        <w:tblW w:w="3400" w:type="dxa"/>
        <w:jc w:val="left"/>
        <w:tblInd w:w="0" w:type="dxa"/>
        <w:tblLayout w:type="fixed"/>
        <w:tblCellMar>
          <w:top w:w="0" w:type="dxa"/>
          <w:left w:w="0" w:type="dxa"/>
          <w:bottom w:w="0" w:type="dxa"/>
          <w:right w:w="0" w:type="dxa"/>
        </w:tblCellMar>
      </w:tblPr>
      <w:tblGrid>
        <w:gridCol w:w="230"/>
        <w:gridCol w:w="31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is furnishing these materials in connection with the solicitation of proxies by the LIEN Board for use at the LIEN Special Meeting to be held virtually on [   ], 2026 at [  ], Eastern Time, at the following website: www.[  ].com, and any adjournments or postponements thereof.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is furnishing these materials in connection with the solicitation of proxies by the REFI Board for use at the REFI Special Meeting to be held virtually on [   ], 2026 at [  ], Eastern Time, at the following website: www.[ ].com, and any adjournments or postponements thereof.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and the accompanying materials are being mailed on or about [ ], 2026 to shareholders of record of LIEN and REFI described below and are available at www.[   ].com. </w:t>
      </w:r>
    </w:p>
    <w:tbl>
      <w:tblPr>
        <w:tblW w:w="6475" w:type="dxa"/>
        <w:jc w:val="left"/>
        <w:tblInd w:w="0" w:type="dxa"/>
        <w:tblLayout w:type="fixed"/>
        <w:tblCellMar>
          <w:top w:w="0" w:type="dxa"/>
          <w:left w:w="0" w:type="dxa"/>
          <w:bottom w:w="0" w:type="dxa"/>
          <w:right w:w="0" w:type="dxa"/>
        </w:tblCellMar>
      </w:tblPr>
      <w:tblGrid>
        <w:gridCol w:w="230"/>
        <w:gridCol w:w="62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items will be considered and voted on at the LIEN Special Meeting? </w:t>
            </w:r>
          </w:p>
        </w:tc>
      </w:tr>
    </w:tbl>
    <w:tbl>
      <w:tblPr>
        <w:tblW w:w="7930" w:type="dxa"/>
        <w:jc w:val="left"/>
        <w:tblInd w:w="0" w:type="dxa"/>
        <w:tblLayout w:type="fixed"/>
        <w:tblCellMar>
          <w:top w:w="0" w:type="dxa"/>
          <w:left w:w="0" w:type="dxa"/>
          <w:bottom w:w="0" w:type="dxa"/>
          <w:right w:w="0" w:type="dxa"/>
        </w:tblCellMar>
      </w:tblPr>
      <w:tblGrid>
        <w:gridCol w:w="215"/>
        <w:gridCol w:w="771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LIEN Special Meeting, LIEN Shareholders will be asked to approve the LIEN Proposals. </w:t>
            </w:r>
          </w:p>
        </w:tc>
      </w:tr>
    </w:tbl>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items will be considered and voted on at the REFI Special Meeting? </w:t>
            </w:r>
          </w:p>
        </w:tc>
      </w:tr>
    </w:tbl>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REFI Special Meeting, REFI Shareholders will be asked to approve the REFI Proposals. </w:t>
            </w:r>
          </w:p>
        </w:tc>
      </w:tr>
    </w:tbl>
    <w:tbl>
      <w:tblPr>
        <w:tblW w:w="8650" w:type="dxa"/>
        <w:jc w:val="left"/>
        <w:tblInd w:w="0" w:type="dxa"/>
        <w:tblLayout w:type="fixed"/>
        <w:tblCellMar>
          <w:top w:w="0" w:type="dxa"/>
          <w:left w:w="0" w:type="dxa"/>
          <w:bottom w:w="0" w:type="dxa"/>
          <w:right w:w="0" w:type="dxa"/>
        </w:tblCellMar>
      </w:tblPr>
      <w:tblGrid>
        <w:gridCol w:w="230"/>
        <w:gridCol w:w="84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4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LIEN Board recommend voting on the LIEN Proposals at the LIEN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on the recommendation of the LIEN Special Committee, the LIEN Board unanimously approved the Merger Agreement, including the Merger and the related transactions. The LIEN Board, including each of the LIEN Independent Directors, unanimously recommends that LIEN Shareholders vote “FOR” the LIEN Proposals. </w:t>
            </w:r>
          </w:p>
        </w:tc>
      </w:tr>
    </w:tbl>
    <w:tbl>
      <w:tblPr>
        <w:tblW w:w="8605" w:type="dxa"/>
        <w:jc w:val="left"/>
        <w:tblInd w:w="0" w:type="dxa"/>
        <w:tblLayout w:type="fixed"/>
        <w:tblCellMar>
          <w:top w:w="0" w:type="dxa"/>
          <w:left w:w="0" w:type="dxa"/>
          <w:bottom w:w="0" w:type="dxa"/>
          <w:right w:w="0" w:type="dxa"/>
        </w:tblCellMar>
      </w:tblPr>
      <w:tblGrid>
        <w:gridCol w:w="230"/>
        <w:gridCol w:w="8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REFI Board recommend voting on the REFI Proposals at the REFI Special Meeting?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on the recommendation of the REFI Special Committee, the REFI Board unanimously approved the BDC Election, the New BDC Advisory Agreement, and the Merger Agreement, including the Merger and the related transactions. The REFI Board, including each of the REFI Independent Directors, unanimously recommends that REFI Shareholders vote “FOR” each of the REFI Proposals. </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Proposal-Specific Explanations</w:t>
      </w:r>
      <w:r>
        <w:rPr>
          <w:rFonts w:ascii="Times New Roman;Times;serif" w:hAnsi="Times New Roman;Times;serif"/>
          <w:b/>
          <w:color w:val="000000"/>
          <w:sz w:val="20"/>
        </w:rPr>
        <w:t xml:space="preserve"> </w:t>
      </w:r>
    </w:p>
    <w:tbl>
      <w:tblPr>
        <w:tblW w:w="7435" w:type="dxa"/>
        <w:jc w:val="left"/>
        <w:tblInd w:w="0" w:type="dxa"/>
        <w:tblLayout w:type="fixed"/>
        <w:tblCellMar>
          <w:top w:w="0" w:type="dxa"/>
          <w:left w:w="0" w:type="dxa"/>
          <w:bottom w:w="0" w:type="dxa"/>
          <w:right w:w="0" w:type="dxa"/>
        </w:tblCellMar>
      </w:tblPr>
      <w:tblGrid>
        <w:gridCol w:w="230"/>
        <w:gridCol w:w="72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BDC Election, and why is REFI asking REFI Shareholders to approve it?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BDC Election is REFI’s election to be regulated as a BDC under the 1940 Act, which REFI will take effect by filing a Form N-54A with the SEC. Following the BDC Election Time, REFI will be subject to the regulatory framework of the 1940 Act applicable to BDCs.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is making the BDC Election because the Merger Agreement requires REFI to elect to be regulated as a BDC prior to the completion of the Merger. LIEN is already regulated as a BDC under the 1940 Act, and Rule 17a-8 under the 1940 Act (which provides an exemption from the affiliated-transaction prohibitions of Section 17(a) of the 1940 Act for mergers between certain affiliated investment companies and BDCs) requires both parties to the Merger to be registered investment companies or BDCs at the time of the Merger.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principal effects of the BDC Election on REFI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will become subject to the affiliate-transaction prohibitions of Section 17(a) of the 1940 Act, the affiliate-transaction restrictions of Section 57 of the 1940 Act (which applies specifically to BDCs), the leverage limits of Section 61 of the 1940 Act, and other regulatory requirements applicable to BDCs.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7966x1_n14_107-qa_pg2"/>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REFI’s investment advisory arrangement will change. Beginning at the BDC Election Time, the REFI Management Agreement with REFI Manager will terminate automatically, and REFI will be advised by LIEN Adviser pursuant to the New BDC Advisory Agreement, which REFI Shareholders are being asked to approve as the New BDC Advisory Agreement Proposal. See “</w:t>
            </w:r>
            <w:r>
              <w:rPr>
                <w:rFonts w:ascii="Times New Roman;Times;serif" w:hAnsi="Times New Roman;Times;serif"/>
                <w:i/>
                <w:color w:val="000000"/>
                <w:sz w:val="20"/>
              </w:rPr>
              <w:t>Questions and Answers about the Special Meetings and the Merger — What will happen to the REFI Management Agreement and the New BDC Advisory Agreement in connection with the Merger?”</w:t>
            </w:r>
            <w:r>
              <w:rPr>
                <w:rFonts w:ascii="Times New Roman;Times;serif" w:hAnsi="Times New Roman;Times;serif"/>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REFI intends to complete the BDC Election immediately prior to the completion of the Merger, REFI is expected to operate as a stand-alone BDC only for a short period of time, between the BDC Election Time and the Merger Effective Time. Following the Merger, the combined company will continue to be regulated as a BDC under the 1940 Act.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REFI Shareholders are being asked to approve the BDC Election Proposal at the initial session of the REFI Special Meeting. See “</w:t>
      </w:r>
      <w:r>
        <w:rPr>
          <w:rFonts w:ascii="Times New Roman;Times;serif" w:hAnsi="Times New Roman;Times;serif"/>
          <w:i/>
          <w:color w:val="000000"/>
          <w:sz w:val="20"/>
        </w:rPr>
        <w:t>REFI Proposal I — Approval of the BDC Election Proposal”</w:t>
      </w:r>
      <w:r>
        <w:rPr>
          <w:rFonts w:ascii="Times New Roman;Times;serif" w:hAnsi="Times New Roman;Times;serif"/>
          <w:color w:val="000000"/>
          <w:sz w:val="20"/>
        </w:rPr>
        <w:t xml:space="preserve">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for additional information.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“Post-BDC Election Approvals,” and am I being asked to vote on them?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The “Post-BDC Election Approvals” are approvals that must be made by the REFI Board (acting upon the recommendation of the REFI Special Committee) under Rule 17a-8 of the 1940 Act after REFI files its election to be regulated as a BDC. Rule 17a-8 of the 1940 Act permits certain mergers involving affiliated investment companies and BDCs to proceed on the basis of specified board findings, including a determination that participation in the Merger is in the best interests of REFI and that the interests of existing REFI Shareholders will not be diluted as a result of the Merger. Receipt of the Post-BDC Election Approvals is a condition to the completion of the Merger, but REFI Shareholders are not being asked to vote on those approvals. REFI Shareholders are being asked only to vote on the REFI Proposals, as described elsewhere in this joint proxy statement/prospectus. </w:t>
            </w:r>
          </w:p>
        </w:tc>
      </w:tr>
    </w:tbl>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REFI Adjournment Proposal, and why is REFI asking shareholders to approve it?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Adjournment Proposal asks REFI Shareholders to approve the adjournment of the REFI Special Meeting, from time to time, if necessary or appropriate, for two purposes.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First, the REFI Special Meeting is expected to be conducted in two sessions to accommodate the sequencing required by the Merger Agreement and the 1940 Act. At the initial session, REFI Shareholders will be asked to vote on the BDC Election Proposal, the New BDC Advisory Agreement Proposal and the REFI Adjournment Proposal. Following the vote on the BDC Election Proposal and the New BDC Advisory Agreement Proposal, the REFI Special Meeting will be adjourned to permit (i) the filing of the BDC Election with the SEC and the occurrence of the BDC Election Time and (ii) the REFI Board’s consideration and adoption of the Post-BDC Election Approvals required under Rule 17a-8 of the 1940 Act. The REFI Special Meeting will thereafter be reconvened, and REFI Shareholders will be asked to vote on the Merger Proposal at the reconvened session. This planned adjournment is referred to as the “Sequencing Adjournment.”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Second, the REFI Adjournment Proposal also permits the REFI Special Meeting to be adjourned, at the initial session or the reconvened session, if there are insufficient votes to approve the BDC Election Proposal, the New BDC Advisory Agreement Proposal or the Merger Proposal, or in the absence of a quorum, so that additional proxies may be solicited. This contingent adjournment is referred to as the “Solicitation Adjournment.”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REFI Adjournment Proposal provides the REFI Board with the authority and flexibility to complete both the planned sequencing of the REFI Special Meeting and, if needed, to solicit additional proxies to approve the BDC Election Proposal, the New BDC Advisory Agreement Proposal or the Merger Proposal. </w:t>
      </w:r>
    </w:p>
    <w:tbl>
      <w:tblPr>
        <w:tblW w:w="7780" w:type="dxa"/>
        <w:jc w:val="left"/>
        <w:tblInd w:w="0" w:type="dxa"/>
        <w:tblLayout w:type="fixed"/>
        <w:tblCellMar>
          <w:top w:w="0" w:type="dxa"/>
          <w:left w:w="0" w:type="dxa"/>
          <w:bottom w:w="0" w:type="dxa"/>
          <w:right w:w="0" w:type="dxa"/>
        </w:tblCellMar>
      </w:tblPr>
      <w:tblGrid>
        <w:gridCol w:w="230"/>
        <w:gridCol w:w="75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will the REFI Special Meeting be reconvened for the vote on the Merger Proposal?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is expected to be conducted in two sessions, which are expected to occur on the same day. REFI expects the Sequencing Adjournment to last only a short period of time, during which (i) REFI will file the BDC Election with the SEC and, upon acceptance of such filing, the BDC Election Time will occur, and (ii) the REFI Board (acting upon the recommendation of the REFI Special Committee) will consider and adopt the Post-BDC Election Approvals. The REFI Special Meeting will thereafter be reconvened, most likely on the same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7966x1_n14_107-qa_pg3"/>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day, and REFI Shareholders will vote on the Merger Proposal at the reconvened session. The specific time of the reconvened session will be announced at the initial session of the REFI Special Meeting. No separate notice of the reconvened session will be required.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Proxies submitted for the initial session of the REFI Special Meeting will remain valid for the reconvened session, subject to each REFI Shareholder’s right to revoke or change its proxy prior to the vote on the Merger Proposal. See “</w:t>
      </w:r>
      <w:r>
        <w:rPr>
          <w:rFonts w:ascii="Times New Roman;Times;serif" w:hAnsi="Times New Roman;Times;serif"/>
          <w:i/>
          <w:color w:val="000000"/>
          <w:sz w:val="20"/>
        </w:rPr>
        <w:t>The REFI Special Meeting — Revocability of Proxies</w:t>
      </w:r>
      <w:r>
        <w:rPr>
          <w:rFonts w:ascii="Times New Roman;Times;serif" w:hAnsi="Times New Roman;Times;serif"/>
          <w:color w:val="000000"/>
          <w:sz w:val="20"/>
        </w:rPr>
        <w:t xml:space="preserve">” for information on how to revoke or change your proxy.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proxy voted against the BDC Election Proposal, the New BDC Advisory Agreement Proposal or the Merger Proposal will be voted in favor of the REFI Adjournment Proposal.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REFI Management Agreement and the New BDC Advisory Agreement in connection with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Management Agreement, between REFI and REFI Manager, will terminate automatically immediately after the BDC Election Time. Beginning at the BDC Election Time, REFI will be advised by LIEN Adviser pursuant to the New BDC Advisory Agreement (which REFI Shareholders are being asked to approve as the New BDC Advisory Agreement Proposal and is substantially similar to the LIEN Investment Advisory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New BDC Advisory Agreement will remain in effect only for the period between the BDC Election Time and the Merger Effective Time, which is expected to be a matter of hours on the same day as the REFI Special Meeting. Immediately after the occurrence of the Merger Effective Time, the New BDC Advisory Agreement will terminate automatically. Following the Merger, the combined company will be advised by LIEN Adviser pursuant to the existing LIEN Investment Advisory Agreement.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REFI Shareholders are being asked to approve the New BDC Advisory Agreement Proposal because REFI is required under Section 15 of the 1940 Act to obtain shareholder approval of any investment advisory agreement, and REFI must have a 1940 Act compliant advisory agreement in place from and after the BDC Election Time. The short duration of the New BDC Advisory Agreement reflects the sequencing of the transaction: REFI must first elect to be regulated as a BDC (which requires a 1940 Act compliant advisory agreement) before the Merger can be completed. See “</w:t>
      </w:r>
      <w:r>
        <w:rPr>
          <w:rFonts w:ascii="Times New Roman;Times;serif" w:hAnsi="Times New Roman;Times;serif"/>
          <w:i/>
          <w:color w:val="000000"/>
          <w:sz w:val="20"/>
        </w:rPr>
        <w:t>Description of New BDC Advisory Agreement</w:t>
      </w:r>
      <w:r>
        <w:rPr>
          <w:rFonts w:ascii="Times New Roman;Times;serif" w:hAnsi="Times New Roman;Times;serif"/>
          <w:color w:val="000000"/>
          <w:sz w:val="20"/>
        </w:rPr>
        <w:t>” and “</w:t>
      </w:r>
      <w:r>
        <w:rPr>
          <w:rFonts w:ascii="Times New Roman;Times;serif" w:hAnsi="Times New Roman;Times;serif"/>
          <w:i/>
          <w:color w:val="000000"/>
          <w:sz w:val="20"/>
        </w:rPr>
        <w:t xml:space="preserve">REFI Proposal II — Approval of the New BDC Advisory Agreement Proposal” </w:t>
      </w:r>
      <w:r>
        <w:rPr>
          <w:rFonts w:ascii="Times New Roman;Times;serif" w:hAnsi="Times New Roman;Times;serif"/>
          <w:color w:val="000000"/>
          <w:sz w:val="20"/>
        </w:rPr>
        <w:t xml:space="preserve">for additional information. </w:t>
      </w:r>
    </w:p>
    <w:tbl>
      <w:tblPr>
        <w:tblW w:w="8215" w:type="dxa"/>
        <w:jc w:val="left"/>
        <w:tblInd w:w="0" w:type="dxa"/>
        <w:tblLayout w:type="fixed"/>
        <w:tblCellMar>
          <w:top w:w="0" w:type="dxa"/>
          <w:left w:w="0" w:type="dxa"/>
          <w:bottom w:w="0" w:type="dxa"/>
          <w:right w:w="0" w:type="dxa"/>
        </w:tblCellMar>
      </w:tblPr>
      <w:tblGrid>
        <w:gridCol w:w="230"/>
        <w:gridCol w:w="79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LIEN Adjournment Proposal, and why is LIEN asking shareholders to approve it?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LIEN Adjournment Proposal asks LIEN Shareholders to approve the adjournment of the LIEN Special Meeting, from time to time, if necessary or appropriate, to solicit additional proxies if there are insufficient votes to approve the Merger Stock Issuance Proposal or Merger Agreement, or in the absence of a quorum.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LIEN Adjournment Proposal provides the LIEN Board with the authority and flexibility to solicit additional proxies to approve the Merger Stock Issuance Proposal or the Merger Agreement, if necessary.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Support Agreements, and how do they affect the vote at the LIEN Special Meeting and the REFI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Support Agreements are the Voting and Support Agreements, dated as of June 17, 2026, entered into with LIEN and REFI, respectively, by certain shareholders of LIEN and REFI. The LIEN support agreement was entered into by LIEN Adviser, John Mazarakis, Anthony Cappell and Scott Gordon, in each case in its or his capacity as a shareholder of LIEN. The REFI support agreement was entered into by John Mazarakis, Anthony Cappell, David Kite, Peter Sack and Phil Silverman, in each case in his capacity as a shareholder of REFI.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Support Agreements, among other things, each supporting shareholder has agreed to vote its or his shares of LIEN Common Stock or REFI Common Stock, as applicable, in favor of the proposals to be considered at the applicable special meeting. Accordingly, the LIEN supporting shareholders have agreed to vote their shares of LIEN Common Stock in favor of the LIEN Proposals at the LIEN Special Meeting, and the REFI supporting shareholders have agreed to vote their shares of REFI Common Stock in favor of the REFI Proposals at the REFI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the shares subject to the Support Agreements are expected to be voted in favor of the applicable proposals at the LIEN Special Meeting and the REFI Special Meeting, which may increase the likelihood that the required shareholder approvals will be obtained.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7966x1_n14_107-qa_pg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Vote Required and Board Recommendations on Specific Proposals</w:t>
      </w:r>
      <w:r>
        <w:rPr>
          <w:rFonts w:ascii="Times New Roman;Times;serif" w:hAnsi="Times New Roman;Times;serif"/>
          <w:b/>
          <w:color w:val="000000"/>
          <w:sz w:val="20"/>
        </w:rPr>
        <w:t xml:space="preserve"> </w:t>
      </w:r>
    </w:p>
    <w:tbl>
      <w:tblPr>
        <w:tblW w:w="10165" w:type="dxa"/>
        <w:jc w:val="left"/>
        <w:tblInd w:w="0" w:type="dxa"/>
        <w:tblLayout w:type="fixed"/>
        <w:tblCellMar>
          <w:top w:w="0" w:type="dxa"/>
          <w:left w:w="0" w:type="dxa"/>
          <w:bottom w:w="0" w:type="dxa"/>
          <w:right w:w="0" w:type="dxa"/>
        </w:tblCellMar>
      </w:tblPr>
      <w:tblGrid>
        <w:gridCol w:w="230"/>
        <w:gridCol w:w="99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Merger Stock Issuance Proposal being considered at the LIEN Special Meeting?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LIEN Shareholders at the LIEN Special Meeting virtually or by proxy is required for approval of the Merger Stock Issuance Proposal (meaning that the number of shares voted “FOR” the proposal must exceed the number of shares voted “AGAINST” such proposal). Abstentions will not be included in determining the number of votes cast and, as a result, will have no effect on this proposal.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Merger Agreement, including the Merger and other transactions contemplated thereby, being considered at the LIEN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at least a majority of the outstanding shares of LIEN Common Stock and (B) at least a majority of the shares of LIEN Common Stock voted at the LIEN Special Meeting held by the LIEN Unaffiliated Shareholders is required for approval of this proposal. Abstentions will have the effect of a vote “AGAINST” this proposal insofar as approval requires the affirmative vote of at least a majority of the outstanding shares of LIEN Common Stock entitled to be cast at the LIEN Special Meeting. However, abstentions will not be counted as votes cast for purposes of the separate majority-of-the-minority-shares-voted requirement and, as a result, will have no effect on such voting requirement. </w:t>
            </w:r>
          </w:p>
        </w:tc>
      </w:tr>
    </w:tbl>
    <w:tbl>
      <w:tblPr>
        <w:tblW w:w="5995" w:type="dxa"/>
        <w:jc w:val="left"/>
        <w:tblInd w:w="0" w:type="dxa"/>
        <w:tblLayout w:type="fixed"/>
        <w:tblCellMar>
          <w:top w:w="0" w:type="dxa"/>
          <w:left w:w="0" w:type="dxa"/>
          <w:bottom w:w="0" w:type="dxa"/>
          <w:right w:w="0" w:type="dxa"/>
        </w:tblCellMar>
      </w:tblPr>
      <w:tblGrid>
        <w:gridCol w:w="230"/>
        <w:gridCol w:w="57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LIEN Adjournment Proposal?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LIEN Adjournment Proposal requires the affirmative vote of a majority of the votes cast on the proposal at the LIEN Special Meeting. Abstentions and broker non-votes will have no effect on the outcome of the LIEN Adjournment Proposal. </w:t>
            </w:r>
          </w:p>
        </w:tc>
      </w:tr>
    </w:tbl>
    <w:tbl>
      <w:tblPr>
        <w:tblW w:w="6535" w:type="dxa"/>
        <w:jc w:val="left"/>
        <w:tblInd w:w="0" w:type="dxa"/>
        <w:tblLayout w:type="fixed"/>
        <w:tblCellMar>
          <w:top w:w="0" w:type="dxa"/>
          <w:left w:w="0" w:type="dxa"/>
          <w:bottom w:w="0" w:type="dxa"/>
          <w:right w:w="0" w:type="dxa"/>
        </w:tblCellMar>
      </w:tblPr>
      <w:tblGrid>
        <w:gridCol w:w="230"/>
        <w:gridCol w:w="63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LIEN Board recommend that I vote on the LIEN Proposals?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LIEN Board unanimously recommends that LIEN Shareholders vote “FOR” the Merger Stock Issuance Proposal, “FOR” the approval of the Merger Agreement, including the Merger and related transactions, and “FOR” the LIEN Adjournment Proposal.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BDC Election Proposal and New BDC Advisory Agreement Proposal being considered at the REFI Special Meeting?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BDC Election Proposal and the New BDC Advisory Agreement Proposal requires the affirmative vote of the lesser of: (1) 67% of the shares of REFI Common Stock present at the REFI Special Meeting if the holders of more than 50% of the outstanding shares of REFI Common Stock are present or represented by proxy, or (2) more than 50% of the outstanding shares of REFI Common Stock. This vote standard is required by Sections 8(b) and 15(a) of the 1940 Act. Abstentions will have the effect of a vote “AGAINST” each of the BDC Election Proposal and the New BDC Advisory Agreement Proposal. </w:t>
            </w:r>
          </w:p>
        </w:tc>
      </w:tr>
    </w:tbl>
    <w:tbl>
      <w:tblPr>
        <w:tblW w:w="8875" w:type="dxa"/>
        <w:jc w:val="left"/>
        <w:tblInd w:w="0" w:type="dxa"/>
        <w:tblLayout w:type="fixed"/>
        <w:tblCellMar>
          <w:top w:w="0" w:type="dxa"/>
          <w:left w:w="0" w:type="dxa"/>
          <w:bottom w:w="0" w:type="dxa"/>
          <w:right w:w="0" w:type="dxa"/>
        </w:tblCellMar>
      </w:tblPr>
      <w:tblGrid>
        <w:gridCol w:w="230"/>
        <w:gridCol w:w="86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Merger Proposal being considered at the REFI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at least a majority of the outstanding shares of REFI Common Stock and (B) at least a majority of the shares of REFI Common Stock voted at the REFI Special Meeting held by REFI Unaffiliated Shareholders is required for approval of this proposal. Abstentions will have the effect of a vote “AGAINST” this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w:t>
            </w:r>
          </w:p>
        </w:tc>
      </w:tr>
    </w:tbl>
    <w:tbl>
      <w:tblPr>
        <w:tblW w:w="5980" w:type="dxa"/>
        <w:jc w:val="left"/>
        <w:tblInd w:w="0" w:type="dxa"/>
        <w:tblLayout w:type="fixed"/>
        <w:tblCellMar>
          <w:top w:w="0" w:type="dxa"/>
          <w:left w:w="0" w:type="dxa"/>
          <w:bottom w:w="0" w:type="dxa"/>
          <w:right w:w="0" w:type="dxa"/>
        </w:tblCellMar>
      </w:tblPr>
      <w:tblGrid>
        <w:gridCol w:w="230"/>
        <w:gridCol w:w="57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the REFI Adjournment Proposal?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REFI Adjournment Proposal requires the affirmative vote of a majority of the votes cast on the proposal at the REFI Special Meeting. Abstentions and broker non-votes will have no effect on the outcome of the REFI Adjournment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7966x1_n14_107-qa_pg5"/>
        <w:bookmarkEnd w:id="26"/>
        <w:r>
          <w:rPr>
            <w:rStyle w:val="InternetLink"/>
            <w:rFonts w:ascii="Times New Roman;Times;Serif" w:hAnsi="Times New Roman;Times;Serif"/>
            <w:b/>
            <w:caps w:val="false"/>
            <w:smallCaps w:val="false"/>
            <w:color w:val="000000"/>
            <w:sz w:val="16"/>
          </w:rPr>
          <w:t>TABLE OF CONTENTS</w:t>
        </w:r>
      </w:hyperlink>
    </w:p>
    <w:tbl>
      <w:tblPr>
        <w:tblW w:w="6505" w:type="dxa"/>
        <w:jc w:val="left"/>
        <w:tblInd w:w="0" w:type="dxa"/>
        <w:tblLayout w:type="fixed"/>
        <w:tblCellMar>
          <w:top w:w="0" w:type="dxa"/>
          <w:left w:w="0" w:type="dxa"/>
          <w:bottom w:w="0" w:type="dxa"/>
          <w:right w:w="0" w:type="dxa"/>
        </w:tblCellMar>
      </w:tblPr>
      <w:tblGrid>
        <w:gridCol w:w="230"/>
        <w:gridCol w:w="62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REFI Board recommend that I vote on the REFI Proposals?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Board unanimously recommends that REFI Shareholders vote “FOR” the BDC Election Proposal, “FOR” the New BDC Advisory Agreement Proposal, “FOR” the Merger Proposal and “FOR” the REFI Adjournment Proposal. </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Voting Mechanics</w:t>
      </w:r>
      <w:r>
        <w:rPr>
          <w:rFonts w:ascii="Times New Roman;Times;serif" w:hAnsi="Times New Roman;Times;serif"/>
          <w:b/>
          <w:color w:val="000000"/>
          <w:sz w:val="20"/>
        </w:rPr>
        <w:t xml:space="preserve"> </w:t>
      </w:r>
    </w:p>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what is the “Record Date” and what does it mean?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LIEN Special Meeting is [   ], 20[ ] (the “LIEN Record Date”). The LIEN Record Date is established by the LIEN Board, and only LIEN Shareholders at the close of business on the LIEN Record Date are entitled to receive notice of the LIEN Special Meeting and vote at the LIEN Special Meeting. As of the LIEN Record Date, there were [ ] shares of LIEN Common Stock outstanding. </w:t>
            </w:r>
          </w:p>
        </w:tc>
      </w:tr>
    </w:tbl>
    <w:tbl>
      <w:tblPr>
        <w:tblW w:w="6910" w:type="dxa"/>
        <w:jc w:val="left"/>
        <w:tblInd w:w="0" w:type="dxa"/>
        <w:tblLayout w:type="fixed"/>
        <w:tblCellMar>
          <w:top w:w="0" w:type="dxa"/>
          <w:left w:w="0" w:type="dxa"/>
          <w:bottom w:w="0" w:type="dxa"/>
          <w:right w:w="0" w:type="dxa"/>
        </w:tblCellMar>
      </w:tblPr>
      <w:tblGrid>
        <w:gridCol w:w="230"/>
        <w:gridCol w:w="66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what is the “Record Date” and what does it mean?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REFI Special Meeting is [   ], 20[ ] (the “REFI Record Date”). The REFI Record Date is established by the REFI Board, and only REFI Shareholders at the close of business on the REFI Record Date are entitled to receive notice of the REFI Special Meeting and vote at the REFI Special Meeting. As of the REFI Record Date, there were [  ] shares of REFI Common Stock outstanding. </w:t>
            </w:r>
          </w:p>
        </w:tc>
      </w:tr>
    </w:tbl>
    <w:tbl>
      <w:tblPr>
        <w:tblW w:w="5005" w:type="dxa"/>
        <w:jc w:val="left"/>
        <w:tblInd w:w="0" w:type="dxa"/>
        <w:tblLayout w:type="fixed"/>
        <w:tblCellMar>
          <w:top w:w="0" w:type="dxa"/>
          <w:left w:w="0" w:type="dxa"/>
          <w:bottom w:w="0" w:type="dxa"/>
          <w:right w:w="0" w:type="dxa"/>
        </w:tblCellMar>
      </w:tblPr>
      <w:tblGrid>
        <w:gridCol w:w="230"/>
        <w:gridCol w:w="47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how many votes do I have?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LIEN Common Stock held by a holder of record as of the LIEN Record Date has one vote on each matter to be considered at the LIEN Special Meeting. </w:t>
            </w:r>
          </w:p>
        </w:tc>
      </w:tr>
    </w:tbl>
    <w:tbl>
      <w:tblPr>
        <w:tblW w:w="4990" w:type="dxa"/>
        <w:jc w:val="left"/>
        <w:tblInd w:w="0" w:type="dxa"/>
        <w:tblLayout w:type="fixed"/>
        <w:tblCellMar>
          <w:top w:w="0" w:type="dxa"/>
          <w:left w:w="0" w:type="dxa"/>
          <w:bottom w:w="0" w:type="dxa"/>
          <w:right w:w="0" w:type="dxa"/>
        </w:tblCellMar>
      </w:tblPr>
      <w:tblGrid>
        <w:gridCol w:w="230"/>
        <w:gridCol w:w="47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how many votes do I have?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REFI Common Stock held by a holder of record as of the REFI Record Date has one vote on each matter to be considered at the REFI Special Meeting. </w:t>
            </w:r>
          </w:p>
        </w:tc>
      </w:tr>
    </w:tbl>
    <w:tbl>
      <w:tblPr>
        <w:tblW w:w="7720" w:type="dxa"/>
        <w:jc w:val="left"/>
        <w:tblInd w:w="0" w:type="dxa"/>
        <w:tblLayout w:type="fixed"/>
        <w:tblCellMar>
          <w:top w:w="0" w:type="dxa"/>
          <w:left w:w="0" w:type="dxa"/>
          <w:bottom w:w="0" w:type="dxa"/>
          <w:right w:w="0" w:type="dxa"/>
        </w:tblCellMar>
      </w:tblPr>
      <w:tblGrid>
        <w:gridCol w:w="230"/>
        <w:gridCol w:w="74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how do I participate in the LIEN Special Meeting and vote?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LIEN Shareholder may vote virtually at the LIEN Special Meeting or by proxy in accordance with the instructions provided below. A LIEN Shareholder may also authorize a proxy by telephone or through the internet using the toll-free telephone numbers or web address printed on your proxy card. Authorizing a proxy by telephone or through the internet requires you to input the 16-digit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c>
      </w:tr>
    </w:tbl>
    <w:tbl>
      <w:tblPr>
        <w:tblW w:w="2935" w:type="dxa"/>
        <w:jc w:val="left"/>
        <w:tblInd w:w="0" w:type="dxa"/>
        <w:tblLayout w:type="fixed"/>
        <w:tblCellMar>
          <w:top w:w="0" w:type="dxa"/>
          <w:left w:w="0" w:type="dxa"/>
          <w:bottom w:w="0" w:type="dxa"/>
          <w:right w:w="0" w:type="dxa"/>
        </w:tblCellMar>
      </w:tblPr>
      <w:tblGrid>
        <w:gridCol w:w="110"/>
        <w:gridCol w:w="2825"/>
      </w:tblGrid>
      <w:tr>
        <w:trPr/>
        <w:tc>
          <w:tcPr>
            <w:tcW w:w="110" w:type="dxa"/>
            <w:tcBorders/>
            <w:vAlign w:val="center"/>
          </w:tcPr>
          <w:p>
            <w:pPr>
              <w:pStyle w:val="TableContents"/>
              <w:bidi w:val="0"/>
              <w:spacing w:before="0" w:after="0"/>
              <w:jc w:val="left"/>
              <w:rPr>
                <w:color w:val="000000"/>
              </w:rPr>
            </w:pPr>
            <w:r>
              <w:rPr>
                <w:color w:val="000000"/>
              </w:rPr>
              <w:t>•</w:t>
            </w:r>
          </w:p>
        </w:tc>
        <w:tc>
          <w:tcPr>
            <w:tcW w:w="2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internet: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 [     ] to reach a toll-free, automated touchtone voting line, or [   ] [Monday through Friday 9:00. a.m. until 10:00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 You may vote by proxy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2026.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Important notice regarding the availability of proxy materials for the LIEN Special Meeting, this joint proxy statement/prospectus and the proxy card are available at www.[ ].com. </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how do I participate in the REFI Special Meeting and vote?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 may vote virtually at the REFI Special Meeting or by proxy in accordance with the instructions provided below. A REFI Shareholder may also authorize a proxy by telephone or through the internet using the toll-free telephone numbers or web address printed on your proxy card. Authorizing a proxy by telephone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7966x1_n14_107-qa_pg6"/>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through the internet requires you to input the 16-digit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internet: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 [  ] to reach a toll-free, automated touchtone voting line, or [  ] [Monday through Friday 10:00. a.m. until 9:00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 You may vote by proxy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2026.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Important notice regarding the availability of proxy materials for the REFI Special Meeting, this joint proxy statement/prospectus and the proxy card are available at www.[ ].com. </w:t>
      </w:r>
    </w:p>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LIEN Shareholder does not specify a choice for a matter when authorizing a proxy?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properly executed proxies representing shares of LIEN Common Stock received prior to the LIEN Special Meeting will be voted in accordance with the instructions marked thereon. If a proxy card is signed and returned without any instructions marked, the shares of LIEN Common Stock will be voted “FOR” the LIEN Proposals. </w:t>
            </w:r>
          </w:p>
        </w:tc>
      </w:tr>
    </w:tbl>
    <w:tbl>
      <w:tblPr>
        <w:tblW w:w="8170" w:type="dxa"/>
        <w:jc w:val="left"/>
        <w:tblInd w:w="0" w:type="dxa"/>
        <w:tblLayout w:type="fixed"/>
        <w:tblCellMar>
          <w:top w:w="0" w:type="dxa"/>
          <w:left w:w="0" w:type="dxa"/>
          <w:bottom w:w="0" w:type="dxa"/>
          <w:right w:w="0" w:type="dxa"/>
        </w:tblCellMar>
      </w:tblPr>
      <w:tblGrid>
        <w:gridCol w:w="230"/>
        <w:gridCol w:w="7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REFI Shareholder does not specify a choice for a matter when authorizing a proxy?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properly executed proxies representing shares of REFI Common Stock at the REFI Special Meeting will be voted in accordance with the directions given. If the enclosed proxy card is signed and returned without any directions given, the shares of REFI Common Stock will be voted “FOR” the REFI Proposals. </w:t>
            </w:r>
          </w:p>
        </w:tc>
      </w:tr>
    </w:tbl>
    <w:tbl>
      <w:tblPr>
        <w:tblW w:w="6580" w:type="dxa"/>
        <w:jc w:val="left"/>
        <w:tblInd w:w="0" w:type="dxa"/>
        <w:tblLayout w:type="fixed"/>
        <w:tblCellMar>
          <w:top w:w="0" w:type="dxa"/>
          <w:left w:w="0" w:type="dxa"/>
          <w:bottom w:w="0" w:type="dxa"/>
          <w:right w:w="0" w:type="dxa"/>
        </w:tblCellMar>
      </w:tblPr>
      <w:tblGrid>
        <w:gridCol w:w="230"/>
        <w:gridCol w:w="63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LIEN Shareholder, how can I change my vote or revoke a proxy?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and change your vote by giving notice at any time before your proxy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LIEN Special Meeting, or by a notice, provided in writing and signed by you, delivered to LIEN’s Secretary on any Business Day before the date of the LIEN Special Meeting. </w:t>
            </w:r>
          </w:p>
        </w:tc>
      </w:tr>
    </w:tbl>
    <w:tbl>
      <w:tblPr>
        <w:tblW w:w="6565" w:type="dxa"/>
        <w:jc w:val="left"/>
        <w:tblInd w:w="0" w:type="dxa"/>
        <w:tblLayout w:type="fixed"/>
        <w:tblCellMar>
          <w:top w:w="0" w:type="dxa"/>
          <w:left w:w="0" w:type="dxa"/>
          <w:bottom w:w="0" w:type="dxa"/>
          <w:right w:w="0" w:type="dxa"/>
        </w:tblCellMar>
      </w:tblPr>
      <w:tblGrid>
        <w:gridCol w:w="230"/>
        <w:gridCol w:w="63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REFI Shareholder, how can I change my vote or revoke a proxy?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and change your vote by giving notice at any time before your proxy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REFI Special Meeting, or by a notice, provided in writing and signed by you, delivered to REFI’s Secretary on any Business Day before the date of the REFI Special Meeting.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LIEN Common Stock or REFI Common Stock, as applicable, are held in a broker-controlled account or in “street name,” will my broker vote my shares for me?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You should follow the instructions provided by your broker on your voting instruction form. It is important to note that your broker will vote your shares only if you provide instructions on how you would like your shares to be voted at the applicable special meeting. The LIEN Proposals and the REFI Proposals are non-routine matters, and brokers, banks and other nominees do not have discretionary authority to vote on non-routine matters without instructions from the beneficial owner. If you are a LIEN Shareholder and you hold shares in street name and do not provide voting instructions to your broker, your shares will not be voted at the LIEN Special Meeting, which will have the same effect as a vote “AGAINST” the Merger Agreement, insofar as approval requires the affirmative vote of at least a majority of the outstanding shares of LIEN Common Stock. If you are a REFI Shareholder and you hold shares in street name and do not provide voting instructions to your broker, your shares will not be voted at the REFI Special Meeting, which will have the same effect as a vote “AGAINST” the Merger Proposal, insofar as approval requires the affirmative vote of at least a majority of the outstanding shares of REFI Common Stock, the BDC Election Proposal and the New BDC Advisory Agreement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7966x1_n14_107-qa_pg7"/>
        <w:bookmarkEnd w:id="28"/>
        <w:r>
          <w:rPr>
            <w:rStyle w:val="InternetLink"/>
            <w:rFonts w:ascii="Times New Roman;Times;Serif" w:hAnsi="Times New Roman;Times;Serif"/>
            <w:b/>
            <w:caps w:val="false"/>
            <w:smallCaps w:val="false"/>
            <w:color w:val="000000"/>
            <w:sz w:val="16"/>
          </w:rPr>
          <w:t>TABLE OF CONTENTS</w:t>
        </w:r>
      </w:hyperlink>
    </w:p>
    <w:tbl>
      <w:tblPr>
        <w:tblW w:w="5395" w:type="dxa"/>
        <w:jc w:val="left"/>
        <w:tblInd w:w="0" w:type="dxa"/>
        <w:tblLayout w:type="fixed"/>
        <w:tblCellMar>
          <w:top w:w="0" w:type="dxa"/>
          <w:left w:w="0" w:type="dxa"/>
          <w:bottom w:w="0" w:type="dxa"/>
          <w:right w:w="0" w:type="dxa"/>
        </w:tblCellMar>
      </w:tblPr>
      <w:tblGrid>
        <w:gridCol w:w="230"/>
        <w:gridCol w:w="51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LIEN Special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quorum for the LIEN Special Meeting requires the presence in person or by proxy of the holders of shares of LIEN Common Stock entitled to cast a majority of the votes entitled to be cast at the meeting. If quorum is not met, or if there are otherwise insufficient votes at the time of the LIEN Special Meeting to approve the Merger Stock Issuance Proposal or the Merger Agreement, the LIEN Special Meeting may be adjourned to solicit additional proxies. Adjournment may be effected either (i) by approval of the LIEN Adjournment Proposal by the LIEN Shareholders or (ii) by the chairman of the LIEN Special Meeting pursuant to the authority granted under the LIEN Bylaws.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LIEN Adjournment Proposal is approved, the chairman of the LIEN Special Meeting shall have the power to conclude or adjourn the LIEN Special Meeting from time to time to a date not more than 120 days after the original record date without notice other than announcement at the LIEN Special Meeting. </w:t>
      </w:r>
    </w:p>
    <w:tbl>
      <w:tblPr>
        <w:tblW w:w="5380" w:type="dxa"/>
        <w:jc w:val="left"/>
        <w:tblInd w:w="0" w:type="dxa"/>
        <w:tblLayout w:type="fixed"/>
        <w:tblCellMar>
          <w:top w:w="0" w:type="dxa"/>
          <w:left w:w="0" w:type="dxa"/>
          <w:bottom w:w="0" w:type="dxa"/>
          <w:right w:w="0" w:type="dxa"/>
        </w:tblCellMar>
      </w:tblPr>
      <w:tblGrid>
        <w:gridCol w:w="230"/>
        <w:gridCol w:w="51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REFI Special Meeting?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quorum for the REFI Special Meeting requires the presence in person or by proxy of the holders of shares of REFI Common Stock entitled to cast a majority of the votes entitled to be cast at the meeting. As described above, the REFI Special Meeting is expected to be conducted in two sessions on the same day. Following the vote on the BDC Election Proposal and the New BDC Advisory Agreement Proposal at the initial session, the REFI Special Meeting will be adjourned pursuant to the REFI Adjournment Proposal for the Sequencing Adjournment. In addition, if quorum is not met, or if there are otherwise insufficient votes at the time of the REFI Special Meeting to approve the BDC Election Proposal, the New BDC Advisory Agreement Proposal or the Merger Proposal, the REFI Special Meeting may also be adjourned to solicit additional proxies. Adjournment may be effected either (i) by approval of the REFI Adjournment Proposal by the REFI Shareholders or (ii) by the chairman of the REFI Special Meeting pursuant to the authority granted under the REFI Bylaws.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REFI Adjournment Proposal is approved, the chairman of the REFI Special Meeting shall have the power to conclude or adjourn the REFI Special Meeting from time to time to a date not more than 120 days after the original record date without notice other than announcement at the REFI Special Meeting. No proxy voted against the BDC Election Proposal, the New BDC Advisory Agreement Proposal or the Merger Proposal will be voted in favor of the REFI Adjournment Proposal, unless otherwise designated.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Consequences and Logistics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if the proposals being considered at the LIEN Special Meeting and the REFI Special Meeting are not approved by the required vote?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discussed in more detail in this joint proxy statement/prospectus, closing of the Merger is conditioned on, among other things, (i) approval of the Merger Stock Issuance Proposal and Merger Agreement, including the Merger and related transactions, by LIEN Shareholders at the LIEN Special Meeting, (ii) approval of the BDC Election Proposal, the New BDC Advisory Agreement Proposal and the Merger Proposal by REFI Shareholders at the REFI Special Meeting, (iii) receipt by REFI of the Post-BDC Election Approvals, and (iv) the receipt of any required regulatory and other approvals. If the Merger Stock Issuance Proposal and/or Merger Agreement, including the Merger and related transactions, are not approved by LIEN Shareholders, then the Merger will not close. If the BDC Election Proposal, the New BDC Advisory Agreement and/or Merger Proposal are not approved by REFI Shareholders, then the Merger will not close.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does not close because either LIEN Shareholders or REFI Shareholders do not approve the applicable proposals or any of the other conditions to the closing of the Merger are not satisfied or waived, each of LIEN and REFI will continue to operate pursuant to the current agreements in place for each, and each of LIEN’s and REFI’s respective directors and executive officers will continue to serve as its directors and officers, respectively, until their successors are duly elected and qualified or their resignation. </w:t>
      </w:r>
    </w:p>
    <w:tbl>
      <w:tblPr>
        <w:tblW w:w="4270" w:type="dxa"/>
        <w:jc w:val="left"/>
        <w:tblInd w:w="0" w:type="dxa"/>
        <w:tblLayout w:type="fixed"/>
        <w:tblCellMar>
          <w:top w:w="0" w:type="dxa"/>
          <w:left w:w="0" w:type="dxa"/>
          <w:bottom w:w="0" w:type="dxa"/>
          <w:right w:w="0" w:type="dxa"/>
        </w:tblCellMar>
      </w:tblPr>
      <w:tblGrid>
        <w:gridCol w:w="230"/>
        <w:gridCol w:w="40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0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final voting results be announced?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each special meeting. Final voting results will be published by LIEN and REFI in a current report on Form 8-K within four Business Days after the date of the LIEN Special Meeting and the REFI Special Meeting, respectively.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7966x1_n14_107-qa_pg8"/>
        <w:bookmarkEnd w:id="29"/>
        <w:r>
          <w:rPr>
            <w:rStyle w:val="InternetLink"/>
            <w:rFonts w:ascii="Times New Roman;Times;Serif" w:hAnsi="Times New Roman;Times;Serif"/>
            <w:b/>
            <w:caps w:val="false"/>
            <w:smallCaps w:val="false"/>
            <w:color w:val="000000"/>
            <w:sz w:val="16"/>
          </w:rPr>
          <w:t>TABLE OF CONTENTS</w:t>
        </w:r>
      </w:hyperlink>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LIEN and REFI incur expenses in soliciting proxies?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and REFI will bear the cost of preparing, printing and mailing this joint proxy statement/prospectus and the applicable accompanying Notice of Special Meeting of Shareholders and proxy card as follows: (i) LIEN shall be responsible to pay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LIEN and REFI have engaged [ ], an independent proxy solicitation firm to assist in the distribution of proxy materials, solicitation of proxies and tabulation of proxies. LIEN and REFI expect to pay [ ] approximately $[ ] plus reasonable out of pocket expenses for such services. In addition, LIEN and REFI have engaged [ ] for the purpose of assisting in the solicitation of proxies at an anticipated cost of approximately $[ ] plus reimbursement of certain out-of-pocket expenses and fees for additional services requested. No additional compensation will be paid to directors, officers or regular employees for such services.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regarding expenses related to the Merger, see “</w:t>
      </w:r>
      <w:r>
        <w:rPr>
          <w:rFonts w:ascii="Times New Roman;Times;serif" w:hAnsi="Times New Roman;Times;serif"/>
          <w:i/>
          <w:color w:val="000000"/>
          <w:sz w:val="20"/>
        </w:rPr>
        <w:t>Questions and Answers about the Special Meetings and the Merger — Who is responsible for paying the expenses relating to completing the Merger?</w:t>
      </w:r>
      <w:r>
        <w:rPr>
          <w:rFonts w:ascii="Times New Roman;Times;serif" w:hAnsi="Times New Roman;Times;serif"/>
          <w:color w:val="000000"/>
          <w:sz w:val="20"/>
        </w:rPr>
        <w:t xml:space="preserve">”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proxy card?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Some of your shares of LIEN Common Stock or REFI Common Stock, as applicable, may be registered differently or held in different accounts. You should authorize a proxy to vote the shares in each of your accounts by mail, by telephone or via the internet. If you mail proxy cards, please sign, date and return each proxy card to guarantee that all of your shares are voted. </w:t>
            </w:r>
          </w:p>
        </w:tc>
      </w:tr>
    </w:tbl>
    <w:tbl>
      <w:tblPr>
        <w:tblW w:w="4480" w:type="dxa"/>
        <w:jc w:val="left"/>
        <w:tblInd w:w="0" w:type="dxa"/>
        <w:tblLayout w:type="fixed"/>
        <w:tblCellMar>
          <w:top w:w="0" w:type="dxa"/>
          <w:left w:w="0" w:type="dxa"/>
          <w:bottom w:w="0" w:type="dxa"/>
          <w:right w:w="0" w:type="dxa"/>
        </w:tblCellMar>
      </w:tblPr>
      <w:tblGrid>
        <w:gridCol w:w="230"/>
        <w:gridCol w:w="42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 proxy materials available electronically?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accordance with regulations promulgated by the SEC, LIEN and REFI have made the registration statement (of which this joint proxy statement/prospectus forms a part), the applicable Notice of Special Meeting of Shareholders and the applicable proxy card available to LIEN Shareholders and REFI Shareholders on the internet. Shareholders may (i) access and review the proxy materials of LIEN and REFI, as applicable, (ii) authorize their proxies, as described in “</w:t>
            </w:r>
            <w:r>
              <w:rPr>
                <w:rFonts w:ascii="Times New Roman;Times;serif" w:hAnsi="Times New Roman;Times;serif"/>
                <w:i/>
                <w:color w:val="000000"/>
                <w:sz w:val="20"/>
              </w:rPr>
              <w:t>The LIEN Special Meeting —Voting of Proxies</w:t>
            </w:r>
            <w:r>
              <w:rPr>
                <w:rFonts w:ascii="Times New Roman;Times;serif" w:hAnsi="Times New Roman;Times;serif"/>
                <w:color w:val="000000"/>
                <w:sz w:val="20"/>
              </w:rPr>
              <w:t>” and “</w:t>
            </w:r>
            <w:r>
              <w:rPr>
                <w:rFonts w:ascii="Times New Roman;Times;serif" w:hAnsi="Times New Roman;Times;serif"/>
                <w:i/>
                <w:color w:val="000000"/>
                <w:sz w:val="20"/>
              </w:rPr>
              <w:t>The REFI Special Meeting — Voting of Proxies</w:t>
            </w:r>
            <w:r>
              <w:rPr>
                <w:rFonts w:ascii="Times New Roman;Times;serif" w:hAnsi="Times New Roman;Times;serif"/>
                <w:color w:val="000000"/>
                <w:sz w:val="20"/>
              </w:rPr>
              <w:t xml:space="preserve">” and/or (iii) elect to receive future proxy materials by electronic delivery via the internet address provided below.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joint proxy statement/prospectus forms a part), each Notice of Special Meeting of Shareholders and each proxy card are available at www.[ ].com. </w:t>
      </w:r>
    </w:p>
    <w:tbl>
      <w:tblPr>
        <w:tblW w:w="3040" w:type="dxa"/>
        <w:jc w:val="left"/>
        <w:tblInd w:w="0" w:type="dxa"/>
        <w:tblLayout w:type="fixed"/>
        <w:tblCellMar>
          <w:top w:w="0" w:type="dxa"/>
          <w:left w:w="0" w:type="dxa"/>
          <w:bottom w:w="0" w:type="dxa"/>
          <w:right w:w="0" w:type="dxa"/>
        </w:tblCellMar>
      </w:tblPr>
      <w:tblGrid>
        <w:gridCol w:w="230"/>
        <w:gridCol w:w="28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8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my vote make a difference?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Your vote is needed to ensure the proposals can be acted upon. Your vote is very important. Your immediate response will help avoid potential delays and may save significant additional expenses associated with soliciting shareholder votes. </w:t>
            </w:r>
          </w:p>
        </w:tc>
      </w:tr>
    </w:tbl>
    <w:tbl>
      <w:tblPr>
        <w:tblW w:w="4600" w:type="dxa"/>
        <w:jc w:val="left"/>
        <w:tblInd w:w="0" w:type="dxa"/>
        <w:tblLayout w:type="fixed"/>
        <w:tblCellMar>
          <w:top w:w="0" w:type="dxa"/>
          <w:left w:w="0" w:type="dxa"/>
          <w:bottom w:w="0" w:type="dxa"/>
          <w:right w:w="0" w:type="dxa"/>
        </w:tblCellMar>
      </w:tblPr>
      <w:tblGrid>
        <w:gridCol w:w="230"/>
        <w:gridCol w:w="43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Whom can I contact with any additional questions?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LIEN Shareholder or a REFI Shareholder, you can contact LIEN’s or REFI’s Investor Relations Departments at the below contact information with any additional questions: </w:t>
            </w:r>
          </w:p>
        </w:tc>
      </w:tr>
    </w:tbl>
    <w:tbl>
      <w:tblPr>
        <w:tblW w:w="5900" w:type="dxa"/>
        <w:jc w:val="left"/>
        <w:tblInd w:w="0" w:type="dxa"/>
        <w:tblLayout w:type="fixed"/>
        <w:tblCellMar>
          <w:top w:w="0" w:type="dxa"/>
          <w:left w:w="0" w:type="dxa"/>
          <w:bottom w:w="0" w:type="dxa"/>
          <w:right w:w="0" w:type="dxa"/>
        </w:tblCellMar>
      </w:tblPr>
      <w:tblGrid>
        <w:gridCol w:w="2810"/>
        <w:gridCol w:w="140"/>
        <w:gridCol w:w="140"/>
        <w:gridCol w:w="2810"/>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REFI</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Relations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Relations</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Suite 1800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 N. Wabash Avenue, Suite 500</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IL 60611</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 625-9295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 625-9295</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more information about LIEN and REFI?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can find more information about LIEN and REFI in the documents described under the caption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are urged to read carefully this entire document, including its annexes and the documents incorporated by reference. You should also review the documents referenced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and consult with your accounting, legal and tax advisors.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7966x1_n14_107-qa_pg9"/>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The Merger</w:t>
      </w:r>
      <w:r>
        <w:rPr>
          <w:rFonts w:ascii="Times New Roman;Times;serif" w:hAnsi="Times New Roman;Times;serif"/>
          <w:b/>
          <w:color w:val="000000"/>
          <w:sz w:val="20"/>
        </w:rPr>
        <w:t xml:space="preserve"> </w:t>
      </w:r>
    </w:p>
    <w:tbl>
      <w:tblPr>
        <w:tblW w:w="3085" w:type="dxa"/>
        <w:jc w:val="left"/>
        <w:tblInd w:w="0" w:type="dxa"/>
        <w:tblLayout w:type="fixed"/>
        <w:tblCellMar>
          <w:top w:w="0" w:type="dxa"/>
          <w:left w:w="0" w:type="dxa"/>
          <w:bottom w:w="0" w:type="dxa"/>
          <w:right w:w="0" w:type="dxa"/>
        </w:tblCellMar>
      </w:tblPr>
      <w:tblGrid>
        <w:gridCol w:w="230"/>
        <w:gridCol w:w="28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8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in the Merger?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will merge with and into LIEN, with LIEN as the surviving entity. Each share of REFI Common Stock (other than those held by LIEN or any of its consolidated subsidiaries) will be converted into the right to receive a number of shares of LIEN Common Stock equal to the Exchange Ratio. As a result of the Merger, all shares of REFI Common Stock shall no longer be outstanding and shall automatically be cancelled and shall only represent the right to receive (i) the Merger Consideration (as defined below), (ii) cash in lieu of fractional shares and (iii) any dividends or other distributions payable pursuant to the Merger Agreement. </w:t>
            </w:r>
          </w:p>
        </w:tc>
      </w:tr>
    </w:tbl>
    <w:tbl>
      <w:tblPr>
        <w:tblW w:w="4765" w:type="dxa"/>
        <w:jc w:val="left"/>
        <w:tblInd w:w="0" w:type="dxa"/>
        <w:tblLayout w:type="fixed"/>
        <w:tblCellMar>
          <w:top w:w="0" w:type="dxa"/>
          <w:left w:w="0" w:type="dxa"/>
          <w:bottom w:w="0" w:type="dxa"/>
          <w:right w:w="0" w:type="dxa"/>
        </w:tblCellMar>
      </w:tblPr>
      <w:tblGrid>
        <w:gridCol w:w="230"/>
        <w:gridCol w:w="45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REFI Shareholders receive in the Merger?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Merger Effective Time, each share of REFI Common Stock issued and outstanding immediately prior to the Merger Effective Time, except for Cancelled Shares, but including the net number of shares of REFI Restricted Stock issued pursuant to the REFI Incentive Plan that vest immediately prior to the Merger Effective Time in accordance with the Merger Agreement, shall be converted into the right to receive the Merger Consideration, consisting of a number of shares of LIEN Common Stock equal to the Exchange Ratio, plus cash in lieu of any fractional shares.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more detail in this joint proxy statement/prospectus, the Exchange Ratio is the ratio of the Closing REFI NAV to the Closing LIEN NAV.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i/>
          <w:color w:val="000000"/>
          <w:sz w:val="20"/>
        </w:rPr>
        <w:t>Summary of the Merger — Merger Consideration</w:t>
      </w:r>
      <w:r>
        <w:rPr>
          <w:rFonts w:ascii="Times New Roman;Times;serif" w:hAnsi="Times New Roman;Times;serif"/>
          <w:color w:val="000000"/>
          <w:sz w:val="20"/>
        </w:rPr>
        <w:t xml:space="preserve">” in the joint proxy statement/prospectus accompanying this letter for a full description of the determination of the Exchange Ratio pursuant to the Merger Agreement. </w:t>
      </w:r>
    </w:p>
    <w:tbl>
      <w:tblPr>
        <w:tblW w:w="7615" w:type="dxa"/>
        <w:jc w:val="left"/>
        <w:tblInd w:w="0" w:type="dxa"/>
        <w:tblLayout w:type="fixed"/>
        <w:tblCellMar>
          <w:top w:w="0" w:type="dxa"/>
          <w:left w:w="0" w:type="dxa"/>
          <w:bottom w:w="0" w:type="dxa"/>
          <w:right w:w="0" w:type="dxa"/>
        </w:tblCellMar>
      </w:tblPr>
      <w:tblGrid>
        <w:gridCol w:w="230"/>
        <w:gridCol w:w="73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3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outstanding REFI Restricted Stock in connection with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BDC Election Time, any vesting conditions applicable to each outstanding share of REFI Restricted Stock shall, automatically and without any required action on the part of the holder thereof, accelerate in full and thereafter participate in the Merger along with the other shares of REFI Common Stock; provided, however, that a number of shares of REFI Common Stock having a value equal to the taxes required to be withheld with respect to such vesting may be forfeited in respect of applicable tax withholding obligations, and REFI or LIEN, as the surviving entity in the Merger, will cause the corresponding payment to be remitted on behalf of the holder. </w:t>
            </w:r>
          </w:p>
        </w:tc>
      </w:tr>
    </w:tbl>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lock-ups in connection with the Merger?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lock-ups will be entered into in connection with the Merger. The shares of REFI Common Stock issued in the Koach Transaction are, however, subject to a lock-up as described under “</w:t>
            </w:r>
            <w:r>
              <w:rPr>
                <w:rFonts w:ascii="Times New Roman;Times;serif" w:hAnsi="Times New Roman;Times;serif"/>
                <w:i/>
                <w:color w:val="000000"/>
                <w:sz w:val="20"/>
              </w:rPr>
              <w:t>Summary of the Merger — The Parties to the Merger — Chicago Atlantic Real Estate Finance, Inc</w:t>
            </w:r>
            <w:r>
              <w:rPr>
                <w:rFonts w:ascii="Times New Roman;Times;serif" w:hAnsi="Times New Roman;Times;serif"/>
                <w:color w:val="000000"/>
                <w:sz w:val="20"/>
              </w:rPr>
              <w:t xml:space="preserve">.” </w:t>
            </w:r>
          </w:p>
        </w:tc>
      </w:tr>
    </w:tbl>
    <w:tbl>
      <w:tblPr>
        <w:tblW w:w="4420" w:type="dxa"/>
        <w:jc w:val="left"/>
        <w:tblInd w:w="0" w:type="dxa"/>
        <w:tblLayout w:type="fixed"/>
        <w:tblCellMar>
          <w:top w:w="0" w:type="dxa"/>
          <w:left w:w="0" w:type="dxa"/>
          <w:bottom w:w="0" w:type="dxa"/>
          <w:right w:w="0" w:type="dxa"/>
        </w:tblCellMar>
      </w:tblPr>
      <w:tblGrid>
        <w:gridCol w:w="230"/>
        <w:gridCol w:w="41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Exchange Ratio subject to any adjustment?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As described in more detail in this joint proxy statement/prospectus, the Exchange Ratio means the ratio (rounded to the fourth decimal place) of the Closing REFI NAV to the Closing LIEN NAV. The Exchange Ratio is determined as of the Determination Date. If between the Determination Date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the Exchange Ratio will be adjusted to account for such increase, decrease or change, as applicable, in shares outstanding (to the extent not already taken into account in determining the Closing REFI NAV and/or the Closing LIEN NAV, as applicable). This adjustment will be made to provide REFI Shareholders and LIEN Shareholders the same economic effect as contemplated by the Merger Agreement prior to such increase, decrease or change, as applicable. </w:t>
            </w:r>
          </w:p>
        </w:tc>
      </w:tr>
    </w:tbl>
    <w:tbl>
      <w:tblPr>
        <w:tblW w:w="5395" w:type="dxa"/>
        <w:jc w:val="left"/>
        <w:tblInd w:w="0" w:type="dxa"/>
        <w:tblLayout w:type="fixed"/>
        <w:tblCellMar>
          <w:top w:w="0" w:type="dxa"/>
          <w:left w:w="0" w:type="dxa"/>
          <w:bottom w:w="0" w:type="dxa"/>
          <w:right w:w="0" w:type="dxa"/>
        </w:tblCellMar>
      </w:tblPr>
      <w:tblGrid>
        <w:gridCol w:w="230"/>
        <w:gridCol w:w="51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Koach Transaction affect the Exchange Ratio?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July 9, 2026, REFI completed the Koach Transaction, issuing 4,306,754 shares of REFI Common Stock at a price of $14.53 per share, a premium to REFI’s latest publicly reported book value per share, in exchange for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7966x1_n14_107-qa_pg10"/>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second lien promissory notes with an aggregate principal amount of approximately $62.5 million secured by a portfolio of retail cannabis properties. The issuance was permitted under the Merger Agreement, and the additional shares of REFI Common Stock outstanding, and the Koach Notes received in exchange (which will be treated as assets of REFI for purposes of calculating the Exchange Ratio), will be reflected in Closing REFI NAV per share and, therefore, the Exchange Ratio. See “</w:t>
      </w:r>
      <w:r>
        <w:rPr>
          <w:rFonts w:ascii="Times New Roman;Times;serif" w:hAnsi="Times New Roman;Times;serif"/>
          <w:i/>
          <w:color w:val="000000"/>
          <w:sz w:val="20"/>
        </w:rPr>
        <w:t>Business of REFI</w:t>
      </w:r>
      <w:r>
        <w:rPr>
          <w:rFonts w:ascii="Times New Roman;Times;serif" w:hAnsi="Times New Roman;Times;serif"/>
          <w:color w:val="000000"/>
          <w:sz w:val="20"/>
        </w:rPr>
        <w:t>” and “</w:t>
      </w:r>
      <w:r>
        <w:rPr>
          <w:rFonts w:ascii="Times New Roman;Times;serif" w:hAnsi="Times New Roman;Times;serif"/>
          <w:i/>
          <w:color w:val="000000"/>
          <w:sz w:val="20"/>
        </w:rPr>
        <w:t>Risk Factors—Risks Relating to the Merger.</w:t>
      </w:r>
      <w:r>
        <w:rPr>
          <w:rFonts w:ascii="Times New Roman;Times;serif" w:hAnsi="Times New Roman;Times;serif"/>
          <w:color w:val="000000"/>
          <w:sz w:val="20"/>
        </w:rPr>
        <w:t xml:space="preserve">” </w:t>
      </w:r>
    </w:p>
    <w:tbl>
      <w:tblPr>
        <w:tblW w:w="6910" w:type="dxa"/>
        <w:jc w:val="left"/>
        <w:tblInd w:w="0" w:type="dxa"/>
        <w:tblLayout w:type="fixed"/>
        <w:tblCellMar>
          <w:top w:w="0" w:type="dxa"/>
          <w:left w:w="0" w:type="dxa"/>
          <w:bottom w:w="0" w:type="dxa"/>
          <w:right w:w="0" w:type="dxa"/>
        </w:tblCellMar>
      </w:tblPr>
      <w:tblGrid>
        <w:gridCol w:w="230"/>
        <w:gridCol w:w="66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responsible for paying the expenses relating to completing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costs and expenses of printing and mailing this joint proxy statement/prospectus and all filing and other fees paid to the SEC in connection with the Merger, all fees and expenses incurred in connection with the BDC Election, Merger Agreement, Merger and related transactions shall be borne as follows: (i) the one half (1/2) of such fees shall be borne by LIEN and (ii) the remaining one half (1/2) of such fees shall be borne by REFI; provided, however, that REFI Manager shall pay $2,000,000 of such fees and expenses for which REFI Manager is responsible on behalf of REFI. With respect to the payment of the costs and expenses of printing and mailing this joint proxy statement/prospectus and all filing and other fees payable to the SEC in connection with the Merger: (i) LIEN shall be responsible to pay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Under Exhibit A of the Merger Agreement, the $2,000,000 REFI Manager contribution is effected as an upward adjustment to Closing REFI NAV rather than as a cash reimbursement to REFI. As a result, REFI Shareholders receive the economic benefit of REFI Manager’s contribution through additional shares of LIEN Common Stock at Closing, calculated in accordance with the Exchange Ratio formula. See “</w:t>
      </w:r>
      <w:r>
        <w:rPr>
          <w:rFonts w:ascii="Times New Roman;Times;serif" w:hAnsi="Times New Roman;Times;serif"/>
          <w:i/>
          <w:color w:val="000000"/>
          <w:sz w:val="20"/>
        </w:rPr>
        <w:t>Description of the Merger Agreement — Expenses and Fees.</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it is anticipated that LIEN will bear net expenses of approximately $3.35 million in connection with the Merger, and REFI will bear net expenses of approximately $1.35 million in connection with the Merger. </w:t>
      </w:r>
    </w:p>
    <w:tbl>
      <w:tblPr>
        <w:tblW w:w="3850" w:type="dxa"/>
        <w:jc w:val="left"/>
        <w:tblInd w:w="0" w:type="dxa"/>
        <w:tblLayout w:type="fixed"/>
        <w:tblCellMar>
          <w:top w:w="0" w:type="dxa"/>
          <w:left w:w="0" w:type="dxa"/>
          <w:bottom w:w="0" w:type="dxa"/>
          <w:right w:w="0" w:type="dxa"/>
        </w:tblCellMar>
      </w:tblPr>
      <w:tblGrid>
        <w:gridCol w:w="230"/>
        <w:gridCol w:w="36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6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I receive dividends after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Subject to applicable legal restrictions and the sole discretion of the LIEN Board, LIEN intends to declare and pay regular cash distributions to its shareholders on a quarterly basis. For a history of the dividends and distributions paid by LIEN since February 4, 2022, see “</w:t>
            </w:r>
            <w:r>
              <w:rPr>
                <w:rFonts w:ascii="Times New Roman;Times;serif" w:hAnsi="Times New Roman;Times;serif"/>
                <w:i/>
                <w:color w:val="000000"/>
                <w:sz w:val="20"/>
              </w:rPr>
              <w:t>Market Price, Dividend and Distribution Information — Price Range of LIEN Common Stock.</w:t>
            </w:r>
            <w:r>
              <w:rPr>
                <w:rFonts w:ascii="Times New Roman;Times;serif" w:hAnsi="Times New Roman;Times;serif"/>
                <w:color w:val="000000"/>
                <w:sz w:val="20"/>
              </w:rPr>
              <w:t xml:space="preserve">” The amount and timing of past dividends and distributions are not a guarantee of future dividends or distributions, or the amount thereof, the payment, timing and amount of which will be determined by the LIEN Board and depend on LIEN’s cash requirements, its financial conditions and earnings, contractual restrictions, legal and regulatory considerations and other factors.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Following the Merger Effective Time, the record holders of shares of REFI Common Stock will be entitled to receive dividends or other distributions declared by the LIEN Board with a record date after the Merger Effective Time that are payable with respect to the whole shares of LIEN Common Stock represented by such shares of REFI Common Stock. For a history of the dividends and distributions paid by REFI beginning with the period ended March 31, 2022, see “</w:t>
      </w:r>
      <w:r>
        <w:rPr>
          <w:rFonts w:ascii="Times New Roman;Times;serif" w:hAnsi="Times New Roman;Times;serif"/>
          <w:i/>
          <w:color w:val="000000"/>
          <w:sz w:val="20"/>
        </w:rPr>
        <w:t>Market Price, Dividend and Distribution Information − Price Range of REFI Common Stock.</w:t>
      </w:r>
      <w:r>
        <w:rPr>
          <w:rFonts w:ascii="Times New Roman;Times;serif" w:hAnsi="Times New Roman;Times;serif"/>
          <w:color w:val="000000"/>
          <w:sz w:val="20"/>
        </w:rPr>
        <w:t xml:space="preserve">” </w:t>
      </w:r>
    </w:p>
    <w:tbl>
      <w:tblPr>
        <w:tblW w:w="7030" w:type="dxa"/>
        <w:jc w:val="left"/>
        <w:tblInd w:w="0" w:type="dxa"/>
        <w:tblLayout w:type="fixed"/>
        <w:tblCellMar>
          <w:top w:w="0" w:type="dxa"/>
          <w:left w:w="0" w:type="dxa"/>
          <w:bottom w:w="0" w:type="dxa"/>
          <w:right w:w="0" w:type="dxa"/>
        </w:tblCellMar>
      </w:tblPr>
      <w:tblGrid>
        <w:gridCol w:w="230"/>
        <w:gridCol w:w="68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8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an impact on REFI’s dividends prior to completion of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BDC Election Time, REFI will declare and pay one or more Tax Dividends to the extent needed to (i) eliminate all of REFI’s accumulated earnings and profits for U.S. federal income tax purposes, including any earnings and profits (A) attributable to any taxable year in which REFI was treated as a C corporation (and not as a REIT) for U.S. federal income tax purposes, (B) accumulated during any taxable year in which REFI qualified as a REIT to the extent not previously distributed, and (C) attributable to REFI’s taxable year ending as a result of the Merger (including any income recognized through the Merger Effective Time), and (ii) reduce REFI’s REIT taxable income and net capital gain (if any) to zero for REFI’s taxable year ending as a result of the Merger (taking into account the dividends paid deduction under Section 561 of the Code arising from such Tax Dividends). Prior to the BDC Election Time, REFI will engage an independent accounting firm to prepare a computation of accumulated earnings and profits confirming the amount of Tax Dividends, if any, that need to be distributed to satisfy the foregoing requirements.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7966x1_n14_107-qa_pg1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[ ], REFI Shareholders would receive $[ ] per share of Tax Dividends. </w:t>
      </w:r>
    </w:p>
    <w:tbl>
      <w:tblPr>
        <w:tblW w:w="4480" w:type="dxa"/>
        <w:jc w:val="left"/>
        <w:tblInd w:w="0" w:type="dxa"/>
        <w:tblLayout w:type="fixed"/>
        <w:tblCellMar>
          <w:top w:w="0" w:type="dxa"/>
          <w:left w:w="0" w:type="dxa"/>
          <w:bottom w:w="0" w:type="dxa"/>
          <w:right w:w="0" w:type="dxa"/>
        </w:tblCellMar>
      </w:tblPr>
      <w:tblGrid>
        <w:gridCol w:w="230"/>
        <w:gridCol w:w="42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Merger subject to any third-party consents?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LIEN and REFI have agreed to cooperate with each other and use their reasonable best efforts to take, or cause to be taken, in good faith, all actions, and to do, or cause to be done, all things necessary, including to obtain as promptly as practicable all permits, consents, approvals, confirmations and authorizations of all third parties, in each case, that are necessary or advisable, to consummate the transactions contemplated by the Merger Agreement, including the Merger and BDC Election, in the most expeditious manner practicable. As of the date of this joint proxy statement/prospectus, LIEN and REFI believe that, subject to the satisfaction of certain conditions, they have obtained all necessary third-party consents other than shareholder approval and certain lender and derivative counterparty consents. There can be no assurance that any permits, consents, approvals, confirmations or 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 </w:t>
            </w:r>
          </w:p>
        </w:tc>
      </w:tr>
    </w:tbl>
    <w:tbl>
      <w:tblPr>
        <w:tblW w:w="6355" w:type="dxa"/>
        <w:jc w:val="left"/>
        <w:tblInd w:w="0" w:type="dxa"/>
        <w:tblLayout w:type="fixed"/>
        <w:tblCellMar>
          <w:top w:w="0" w:type="dxa"/>
          <w:left w:w="0" w:type="dxa"/>
          <w:bottom w:w="0" w:type="dxa"/>
          <w:right w:w="0" w:type="dxa"/>
        </w:tblCellMar>
      </w:tblPr>
      <w:tblGrid>
        <w:gridCol w:w="230"/>
        <w:gridCol w:w="61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LIEN’s investment objective and strategy differ from REFI’s?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investment objectives of LIEN and REFI are identical. The investment objective of each of LIEN and REFI is to generate current income and, to a lesser extent, capital appreciation by targeting investment opportunities with favorable risk-adjusted returns. LIEN’s and REFI’s investment strategies are substantially similar. Both LIEN and REFI invest primarily in the cannabis sector, and LIEN Adviser and REFI Manager apply substantially similar underwriting philosophies to their respective portfolios. However, LIEN and REFI are subject to different regulatory frameworks that have shaped, and will continue to shape, the composition of their investment portfolios and the range of investments they may pursue.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LIEN is regulated as a BDC under the 1940 Act. LIEN’s strategy is to invest primarily in secured debt, unsecured debt, equity warrants and direct equity investments in privately held businesses. LIEN intends that its debt investments will often be secured by either a first or second priority lien on the assets of the portfolio company. LIEN expects its secured loans to be secured by various types of assets of its borrowers. While the types of collateral securing any given secured loan will depend on the nature of the borrower’s business, common types of collateral LIEN expects to secure its loans include real property and certain personal property, including equipment, inventory, receivables, cash, intellectual property rights and other assets to the extent permitted by applicable laws and the regulations governing LIEN’s borrowers. As a BDC, LIEN is required to invest at least 70% of its assets in “qualifying assets” as defined in Section 55(a) of the 1940 Act, but is not required to hold real-estate-collateralized investments or to focus on any particular industry sector.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is currently taxed as a REIT for U.S. federal income tax purposes. REFI’s strategy is to originate, structure and invest in first mortgage loans and alternative structured financings secured by commercial real estate properties. REFI’s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In order to qualify as a REIT, REFI is required to satisfy the asset and income tests under Sections 856(c)(4) and 856(c)(3) of the Code, which effectively require that at least 75% of REFI’s assets consist of real estate assets (including real-estate-collateralized loans) and at least 75% of REFI’s gross income be derived from real-estate-related sources. These REIT qualification requirements have limited REFI’s ability to invest in loans and other assets not predominantly collateralized by real estate, and have precluded REFI from pursuing certain non-cannabis lending opportunities originated by the Chicago Atlantic platform that would otherwise fit REFI’s underwriting criteria.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 will operate under LIEN’s investment strategy and regulatory framework rather than REFI’s, with the effects described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Broader investment mandate.</w:t>
            </w:r>
            <w:r>
              <w:rPr>
                <w:rFonts w:ascii="Times New Roman;Times;serif" w:hAnsi="Times New Roman;Times;serif"/>
                <w:color w:val="000000"/>
                <w:sz w:val="20"/>
              </w:rPr>
              <w:t xml:space="preserve"> The combined company will not be subject to the REIT qualification requirements described above and will therefore be permitted to pursue a broader range of investments, including loans and other assets not predominantly collateralized by real estate and investments in non-cannabis sectors, subject to the 1940 Act “qualifying assets” test applicable to BDCs. As a result, REFI Shareholders who receive shares of LIEN Common Stock in the Merger will have exposure to a portfolio with a broader investment mandate than REFI’s current strategy.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7966x1_n14_107-qa_pg12"/>
        <w:bookmarkEnd w:id="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Different regulatory framework.</w:t>
            </w:r>
            <w:r>
              <w:rPr>
                <w:rFonts w:ascii="Times New Roman;Times;serif" w:hAnsi="Times New Roman;Times;serif"/>
                <w:color w:val="000000"/>
                <w:sz w:val="20"/>
              </w:rPr>
              <w:t xml:space="preserve"> Following the Merger (and, as to REFI, from and after the BDC Election Time), REFI Shareholders will hold shares of an entity subject to the 1940 Act, including the affiliate-transaction prohibitions of Section 17(a), the affiliate-transaction restrictions of Section 57, the leverage limits of Section 61, and other requirements applicable to BDCs, rather than the REIT rules under Sections 856 through 860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No immediate repositioning of REFI’s portfolio. </w:t>
            </w:r>
            <w:r>
              <w:rPr>
                <w:rFonts w:ascii="Times New Roman;Times;serif" w:hAnsi="Times New Roman;Times;serif"/>
                <w:color w:val="000000"/>
                <w:sz w:val="20"/>
              </w:rPr>
              <w:t>LIEN Adviser and REFI Manager do not currently anticipate any material repositioning of REFI’s existing investment portfolio outside of the ordinary course in connection with the Merger. However, over time, the combined company may pursue new investment opportunities that would not have been available to REFI as a REIT, and the composition of the combined company’s portfolio is expected to evolve accordingly.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Investments Reported at Fair Value.</w:t>
            </w:r>
            <w:r>
              <w:rPr>
                <w:rFonts w:ascii="Times New Roman;Times;serif" w:hAnsi="Times New Roman;Times;serif"/>
                <w:color w:val="000000"/>
                <w:sz w:val="20"/>
              </w:rPr>
              <w:t xml:space="preserve"> LIEN will recognize the acquired investment portfolio (including the Koach Transaction assets) as investment assets measured at fair value in its Statements of Assets and Liabilities and Schedule of Investments, consistent with the acquisition method (ASC 805-50) and ASC 946.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 more detailed discussion of the differences between the regulatory frameworks applicable to LIEN and REFI and the related impact on REFI Shareholders, see “</w:t>
      </w:r>
      <w:r>
        <w:rPr>
          <w:rFonts w:ascii="Times New Roman;Times;serif" w:hAnsi="Times New Roman;Times;serif"/>
          <w:i/>
          <w:color w:val="000000"/>
          <w:sz w:val="20"/>
        </w:rPr>
        <w:t>Risk Factors — Risks Relating to the Merger.”</w:t>
      </w:r>
      <w:r>
        <w:rPr>
          <w:rFonts w:ascii="Times New Roman;Times;serif" w:hAnsi="Times New Roman;Times;serif"/>
          <w:color w:val="000000"/>
          <w:sz w:val="20"/>
        </w:rPr>
        <w:t xml:space="preserve"> </w:t>
      </w:r>
    </w:p>
    <w:tbl>
      <w:tblPr>
        <w:tblW w:w="6040" w:type="dxa"/>
        <w:jc w:val="left"/>
        <w:tblInd w:w="0" w:type="dxa"/>
        <w:tblLayout w:type="fixed"/>
        <w:tblCellMar>
          <w:top w:w="0" w:type="dxa"/>
          <w:left w:w="0" w:type="dxa"/>
          <w:bottom w:w="0" w:type="dxa"/>
          <w:right w:w="0" w:type="dxa"/>
        </w:tblCellMar>
      </w:tblPr>
      <w:tblGrid>
        <w:gridCol w:w="230"/>
        <w:gridCol w:w="58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combined company be managed following the Merger?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LIEN Adviser will continue to serve as investment adviser of the combined company following completion of the Merger pursuant to the terms of the LIEN Investment Advisory Agreement. Pursuant to the Merger Agreement, upon completion of the Merger, the LIEN Board will consist of three REFI Independent Directors (Elizabeth Stavola, Brandon Konigsberg and Jason Papastavrou), two LIEN Independent Directors ([ ] and [ ]) and two directors affiliated with LIEN Adviser or its Affiliates ([ ] and [ ]). Following completion of the Merger, Scott Gordon, who currently serves as Executive Chairman and Co-Chief Investment Officer of LIEN, is expected to serve as Executive Chairman and Co-Chief Investment Officer of the surviving company; Umesh Mahajan, who currently serves as Co-Chief Investment Officer of LIEN, is expected to serve as Co-Chief Investment Officer of the surviving company; Gianni Fazio, who currently serves as Chief Accounting Officer of LIEN, is expected to serve as Chief Accounting Officer of the surviving company; Dino Colonna, who currently serves as President of LIEN, is expected to serve as Co-President of the surviving company; David Kite, who currently serves as President of REFI, is expected to serve as Co-President of the surviving company; Andrew Lovitt, who currently serves as Chief Compliance Officer of LIEN, is expected to serve as Chief Compliance Officer of the surviving company; Peter Sack, who currently serves as Chief Executive Officer of LIEN, is expected to serve as Chief Executive Officer of the surviving company; and Phillip Silverman, who currently serves as Chief Financial Officer of REFI, is expected to serve as Chief Financial Officer of the surviving company. See “</w:t>
            </w:r>
            <w:r>
              <w:rPr>
                <w:rFonts w:ascii="Times New Roman;Times;serif" w:hAnsi="Times New Roman;Times;serif"/>
                <w:i/>
                <w:color w:val="000000"/>
                <w:sz w:val="20"/>
              </w:rPr>
              <w:t>Management after the Merger</w:t>
            </w:r>
            <w:r>
              <w:rPr>
                <w:rFonts w:ascii="Times New Roman;Times;serif" w:hAnsi="Times New Roman;Times;serif"/>
                <w:color w:val="000000"/>
                <w:sz w:val="20"/>
              </w:rPr>
              <w:t>” and “</w:t>
            </w:r>
            <w:r>
              <w:rPr>
                <w:rFonts w:ascii="Times New Roman;Times;serif" w:hAnsi="Times New Roman;Times;serif"/>
                <w:i/>
                <w:color w:val="000000"/>
                <w:sz w:val="20"/>
              </w:rPr>
              <w:t>Interests of Certain Persons in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management and incentive fees at the combined company compare to management and incentive fees at REFI?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 the combined company will continue to be externally managed by LIEN Adviser pursuant to the LIEN Investment Advisory Agreement, and REFI Shareholders who receive shares of LIEN Common Stock in the Merger will bear the fees payable under the LIEN Investment Advisory Agreement rather than the fees payable under the REFI Management Agreement with REFI Manager. The Merger will not result in any change to the fee structure under the LIEN Investment Advisory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LIEN Investment Advisory Agreement, fees payable to LIEN Adviser are equal to (a) a base management fee of 1.75% of the average value of LIEN’s gross assets at the end of the two most recent quarters (i.e., total assets held before deduction of any liabilities), which includes investments acquired with the use of leverage and excludes cash and cash equivalents, and (b) an incentive fee based on LIEN’s performance. The incentive fee consists of two parts. The first part is calculated and payable quarterly in arrears and equals 20% of LIEN’s “Pre-Incentive Fee Net Investment Income” for the quarter, subject to a preferred return, or “hurdle,” of 1.75% per quarter (7% annualized), and a “catch-up” feature. The second part is determined and payable in arrears as of the end of each fiscal year (or upon termination of the LIEN Investment Advisory Agreement) and equals 20% of LIEN’s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7966x1_n14_107-qa_pg13"/>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LIEN Investment Advisory Agreement neither includes nor contemplates the inclusion of unrealized gains in the calculation of the Incentive Fee on Capital Gains, as required by GAAP, LIEN accrues the Incentive Fee on Capital Gains on unrealized capital appreciation exceeding unrealized depreciation; this accrual is recorded for financial reporting purposes only, and no amount attributable to unrealized appreciation is payable to LIEN Adviser unless and until the related gains are actually realized.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REFI Management Agreement, REFI Manager is entitled to receive a base management fee, calculated and payable quarterly in arrears, in an amount equal to 0.375% of REFI’s Equity, determined as of the last day of each such quarter, reduced by an amount equal to 50% of the pro rata amount of origination fees earned and paid to REFI Manager during the applicable quarter for loans that were originated on REFI’s behalf by REFI Manager or its affiliates. In addition to the base management fee, REFI Manager is entitled to receive incentive compensation under the REFI Management Agreement based upon REFI’s achievement of targeted levels of Core Earnings, equal to 20% of Core Earnings in excess of a hurdle rate of 8% per annum on REFI’s Equity, with no “catch-up” feature. The REFI Management Agreement does not provide for a separate capital gains incentive fee.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base management fee, LIEN’s base management fee is calculated on gross assets (including assets acquired with the use of leverage), whereas REFI’s base management fee is calculated on equity and is subject to the origination fee offset described above, such that, at comparable leverage levels, the base management fee borne by the combined company is expected to be greater, as a percentage of net assets, than the base management fee historically borne by REFI. In addition, origination and similar fee income earned on the combined company’s investments will generally be recognized as investment income of the combined company (and will be included in Pre-Incentive Fee Net Investment Income subject to the income incentive fee), whereas 50% of certain origination fees paid to REFI Manager have historically been credited against REFI’s base management fee.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With respect to incentive fees, LIEN’s income incentive fee is subject to a 7% annualized hurdle rate with a full “catch-up,” whereas REFI’s incentive compensation is subject to an 8% hurdle with no “catch-up.” In addition, the two structures treat capital gains differently: under the LIEN Investment Advisory Agreement, realized and unrealized capital gains and losses are excluded from Pre-Incentive Fee Net Investment Income, and realized capital gains are instead subject to the separate Incentive Fee on Capital Gains described above, which is not subject to a hurdle, whereas under the REFI Management Agreement, realized gains and losses are not excluded from Core Earnings (only unrealized gains and losses and other non-cash items are excluded from that measure) and therefore are reflected in REFI’s incentive compensation, subject to the 8% hurdle, when realized. For a more detailed discussion of the fees payable by the combined company, including comparative pro forma fee and expense information, see “</w:t>
      </w:r>
      <w:r>
        <w:rPr>
          <w:rFonts w:ascii="Times New Roman;Times;serif" w:hAnsi="Times New Roman;Times;serif"/>
          <w:i/>
          <w:color w:val="000000"/>
          <w:sz w:val="20"/>
        </w:rPr>
        <w:t>Comparative Fees and Expenses</w:t>
      </w:r>
      <w:r>
        <w:rPr>
          <w:rFonts w:ascii="Times New Roman;Times;serif" w:hAnsi="Times New Roman;Times;serif"/>
          <w:color w:val="000000"/>
          <w:sz w:val="20"/>
        </w:rPr>
        <w:t xml:space="preserve">”. </w:t>
      </w:r>
    </w:p>
    <w:tbl>
      <w:tblPr>
        <w:tblW w:w="7225" w:type="dxa"/>
        <w:jc w:val="left"/>
        <w:tblInd w:w="0" w:type="dxa"/>
        <w:tblLayout w:type="fixed"/>
        <w:tblCellMar>
          <w:top w:w="0" w:type="dxa"/>
          <w:left w:w="0" w:type="dxa"/>
          <w:bottom w:w="0" w:type="dxa"/>
          <w:right w:w="0" w:type="dxa"/>
        </w:tblCellMar>
      </w:tblPr>
      <w:tblGrid>
        <w:gridCol w:w="230"/>
        <w:gridCol w:w="6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combined company’s expected capital structure following the Merger?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company’s equity capitalization will consist of a single class of LIEN Common Stock, with approximately [45,999,318] shares expected to be outstanding immediately following the Merger Effective Time (based on shares of LIEN Common Stock and REFI Common Stock outstanding as of [March 31, 2026] and an assumed Exchange Ratio of 1.08).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indebtedness, the $100.0 million LIEN Revolving Credit Facility is expected to remain in place following the Merger. The $110.0 million REFI Revolving Credit Facility is expected to remain outstanding and become an obligation of the combined company at the Merger Effective Time, and the $50.0 million aggregate principal amount of REFI Unsecured Notes are expected to remain outstanding and become obligations of the combined company by operation of the Merger.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On a pro forma basis as of March 31, 2026, after giving effect to the Merger and the related transactions, the combined company would have had approximately $171.6 million of total borrowings outstanding, total liabilities of $201.2 million, and total assets of approximately $813.8 million, representing asset coverage ratio of approximately 492%, substantially in excess of the minimum 150% asset coverage requirement applicable to LIEN as a BDC under the 1940 Act. See “</w:t>
      </w:r>
      <w:r>
        <w:rPr>
          <w:rFonts w:ascii="Times New Roman;Times;serif" w:hAnsi="Times New Roman;Times;serif"/>
          <w:i/>
          <w:color w:val="000000"/>
          <w:sz w:val="20"/>
        </w:rPr>
        <w:t>Capitalization</w:t>
      </w:r>
      <w:r>
        <w:rPr>
          <w:rFonts w:ascii="Times New Roman;Times;serif" w:hAnsi="Times New Roman;Times;serif"/>
          <w:color w:val="000000"/>
          <w:sz w:val="20"/>
        </w:rPr>
        <w:t>” and “</w:t>
      </w:r>
      <w:r>
        <w:rPr>
          <w:rFonts w:ascii="Times New Roman;Times;serif" w:hAnsi="Times New Roman;Times;serif"/>
          <w:i/>
          <w:color w:val="000000"/>
          <w:sz w:val="20"/>
        </w:rPr>
        <w:t>Senior Securities of LIEN</w:t>
      </w:r>
      <w:r>
        <w:rPr>
          <w:rFonts w:ascii="Times New Roman;Times;serif" w:hAnsi="Times New Roman;Times;serif"/>
          <w:color w:val="000000"/>
          <w:sz w:val="20"/>
        </w:rPr>
        <w:t xml:space="preserve">.”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LIEN Shareholders able to exercise appraisal rights?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LIEN Shareholders will not be entitled to exercise appraisal rights with respect to any matter to be voted upon at the LIEN Special Meeting. Any LIEN Shareholder may abstain from voting or vote against any of such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7966x1_n14_107-qa_pg14"/>
        <w:bookmarkEnd w:id="35"/>
        <w:r>
          <w:rPr>
            <w:rStyle w:val="InternetLink"/>
            <w:rFonts w:ascii="Times New Roman;Times;Serif" w:hAnsi="Times New Roman;Times;Serif"/>
            <w:b/>
            <w:caps w:val="false"/>
            <w:smallCaps w:val="false"/>
            <w:color w:val="000000"/>
            <w:sz w:val="16"/>
          </w:rPr>
          <w:t>TABLE OF CONTENTS</w:t>
        </w:r>
      </w:hyperlink>
    </w:p>
    <w:tbl>
      <w:tblPr>
        <w:tblW w:w="5140" w:type="dxa"/>
        <w:jc w:val="left"/>
        <w:tblInd w:w="0" w:type="dxa"/>
        <w:tblLayout w:type="fixed"/>
        <w:tblCellMar>
          <w:top w:w="0" w:type="dxa"/>
          <w:left w:w="0" w:type="dxa"/>
          <w:bottom w:w="0" w:type="dxa"/>
          <w:right w:w="0" w:type="dxa"/>
        </w:tblCellMar>
      </w:tblPr>
      <w:tblGrid>
        <w:gridCol w:w="230"/>
        <w:gridCol w:w="49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REFI Shareholders able to exercise appraisal rights?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REFI Shareholders will not be entitled to exercise appraisal rights with respect to any matter to be voted upon at the REFI Special Meeting. Any REFI Shareholder may abstain from voting or vote against any of such matters. </w:t>
            </w:r>
          </w:p>
        </w:tc>
      </w:tr>
    </w:tbl>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to complete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While there can be no assurance as to the exact timing, or that the Merger will be completed at all, LIEN and REFI are working to complete the Merger in the fourth quarter of 2026. It is currently expected that the Merger will be completed promptly following receipt of the required shareholder approvals at the LIEN Special Meeting and the REFI Special Meeting and satisfaction of the other closing conditions set forth in the Merger Agreement. </w:t>
            </w:r>
          </w:p>
        </w:tc>
      </w:tr>
    </w:tbl>
    <w:tbl>
      <w:tblPr>
        <w:tblW w:w="5350" w:type="dxa"/>
        <w:jc w:val="left"/>
        <w:tblInd w:w="0" w:type="dxa"/>
        <w:tblLayout w:type="fixed"/>
        <w:tblCellMar>
          <w:top w:w="0" w:type="dxa"/>
          <w:left w:w="0" w:type="dxa"/>
          <w:bottom w:w="0" w:type="dxa"/>
          <w:right w:w="0" w:type="dxa"/>
        </w:tblCellMar>
      </w:tblPr>
      <w:tblGrid>
        <w:gridCol w:w="230"/>
        <w:gridCol w:w="51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Merger expected to be taxable to LIEN Shareholders? </w:t>
            </w:r>
          </w:p>
        </w:tc>
      </w:tr>
    </w:tbl>
    <w:tbl>
      <w:tblPr>
        <w:tblW w:w="6445" w:type="dxa"/>
        <w:jc w:val="left"/>
        <w:tblInd w:w="0" w:type="dxa"/>
        <w:tblLayout w:type="fixed"/>
        <w:tblCellMar>
          <w:top w:w="0" w:type="dxa"/>
          <w:left w:w="0" w:type="dxa"/>
          <w:bottom w:w="0" w:type="dxa"/>
          <w:right w:w="0" w:type="dxa"/>
        </w:tblCellMar>
      </w:tblPr>
      <w:tblGrid>
        <w:gridCol w:w="215"/>
        <w:gridCol w:w="623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The Merger is not expected to be a taxable event for LIEN Shareholders. </w:t>
            </w:r>
          </w:p>
        </w:tc>
      </w:tr>
    </w:tbl>
    <w:tbl>
      <w:tblPr>
        <w:tblW w:w="5335" w:type="dxa"/>
        <w:jc w:val="left"/>
        <w:tblInd w:w="0" w:type="dxa"/>
        <w:tblLayout w:type="fixed"/>
        <w:tblCellMar>
          <w:top w:w="0" w:type="dxa"/>
          <w:left w:w="0" w:type="dxa"/>
          <w:bottom w:w="0" w:type="dxa"/>
          <w:right w:w="0" w:type="dxa"/>
        </w:tblCellMar>
      </w:tblPr>
      <w:tblGrid>
        <w:gridCol w:w="230"/>
        <w:gridCol w:w="51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the Merger expected to be taxable to REFI Shareholders?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The merger is intended to qualify as a “reorganization,” within the meaning of Section 368(a) of the Code. It is a condition to LIEN’s and REFI’s respective obligations to complete the Merger that each of them receives a legal opinion to that effect. REFI Shareholders are not expected to recognize any gain or loss for U.S. federal income tax purposes on the exchange of shares of REFI Common Stock for shares of LIEN Common Stock pursuant to the Merger, except with respect to cash received in lieu of fractional shares of LIEN Common Stock. REFI Shareholders should read the section entitled “</w:t>
            </w:r>
            <w:r>
              <w:rPr>
                <w:rFonts w:ascii="Times New Roman;Times;serif" w:hAnsi="Times New Roman;Times;serif"/>
                <w:i/>
                <w:color w:val="000000"/>
                <w:sz w:val="20"/>
              </w:rPr>
              <w:t>Material U.S. Federal Income Tax Considerations</w:t>
            </w:r>
            <w:r>
              <w:rPr>
                <w:rFonts w:ascii="Times New Roman;Times;serif" w:hAnsi="Times New Roman;Times;serif"/>
                <w:color w:val="000000"/>
                <w:sz w:val="20"/>
              </w:rPr>
              <w:t xml:space="preserve">” for a more complete discussion of the U.S. federal income tax consequences of the Merger. Tax matters can be complicated and the tax consequences of the Merger to a REFI Shareholder will depend on the particular tax situation of such shareholder. REFI Shareholders should consult with their own tax advisors to determine the tax consequences of the Merger to them. </w:t>
            </w:r>
          </w:p>
        </w:tc>
      </w:tr>
    </w:tbl>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consummated?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approved by the requisite vote of REFI Shareholders, or if the issuance of shares of LIEN Common Stock in connection with the Merger is not approved by the requisite vote of LIEN Shareholders or if the Merger is not completed for any other reason, REFI Shareholders will not receive any payment for their shares of REFI Common Stock in connection with the Merger. Instead, REFI will remain an independent company.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Did the LIEN Special Committee receive an opinion from the LIEN Special Committee’s financial advisor regarding the Exchange Ratio? </w:t>
            </w:r>
          </w:p>
        </w:tc>
      </w:tr>
    </w:tbl>
    <w:tbl>
      <w:tblPr>
        <w:tblW w:w="10180" w:type="dxa"/>
        <w:jc w:val="left"/>
        <w:tblInd w:w="0" w:type="dxa"/>
        <w:tblLayout w:type="fixed"/>
        <w:tblCellMar>
          <w:top w:w="0" w:type="dxa"/>
          <w:left w:w="0" w:type="dxa"/>
          <w:bottom w:w="0" w:type="dxa"/>
          <w:right w:w="0" w:type="dxa"/>
        </w:tblCellMar>
      </w:tblPr>
      <w:tblGrid>
        <w:gridCol w:w="215"/>
        <w:gridCol w:w="996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For more information, see “</w:t>
            </w:r>
            <w:r>
              <w:rPr>
                <w:rFonts w:ascii="Times New Roman;Times;serif" w:hAnsi="Times New Roman;Times;serif"/>
                <w:i/>
                <w:color w:val="000000"/>
                <w:sz w:val="20"/>
              </w:rPr>
              <w:t>The Merger — Opinion of the LIEN Special Committee’s Financial Advisor</w:t>
            </w:r>
            <w:r>
              <w:rPr>
                <w:rFonts w:ascii="Times New Roman;Times;serif" w:hAnsi="Times New Roman;Times;serif"/>
                <w:color w:val="000000"/>
                <w:sz w:val="20"/>
              </w:rPr>
              <w:t xml:space="preserve">” and </w:t>
            </w:r>
            <w:r>
              <w:rPr>
                <w:rFonts w:ascii="Times New Roman;Times;serif" w:hAnsi="Times New Roman;Times;serif"/>
                <w:i/>
                <w:color w:val="000000"/>
                <w:sz w:val="20"/>
              </w:rPr>
              <w:t>Annex B.</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Did the REFI Special Committee receive an opinion from the REFI Special Committee’s financial advisor regarding the Exchange Ratio? </w:t>
            </w:r>
          </w:p>
        </w:tc>
      </w:tr>
    </w:tbl>
    <w:tbl>
      <w:tblPr>
        <w:tblW w:w="10195" w:type="dxa"/>
        <w:jc w:val="left"/>
        <w:tblInd w:w="0" w:type="dxa"/>
        <w:tblLayout w:type="fixed"/>
        <w:tblCellMar>
          <w:top w:w="0" w:type="dxa"/>
          <w:left w:w="0" w:type="dxa"/>
          <w:bottom w:w="0" w:type="dxa"/>
          <w:right w:w="0" w:type="dxa"/>
        </w:tblCellMar>
      </w:tblPr>
      <w:tblGrid>
        <w:gridCol w:w="215"/>
        <w:gridCol w:w="998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For more information, see “</w:t>
            </w:r>
            <w:r>
              <w:rPr>
                <w:rFonts w:ascii="Times New Roman;Times;serif" w:hAnsi="Times New Roman;Times;serif"/>
                <w:i/>
                <w:color w:val="000000"/>
                <w:sz w:val="20"/>
              </w:rPr>
              <w:t>The Merger — Opinion of the REFI Special Committee’s Financial Advisor</w:t>
            </w:r>
            <w:r>
              <w:rPr>
                <w:rFonts w:ascii="Times New Roman;Times;serif" w:hAnsi="Times New Roman;Times;serif"/>
                <w:color w:val="000000"/>
                <w:sz w:val="20"/>
              </w:rPr>
              <w:t xml:space="preserve">” and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7966x1_n14_108-summary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37" w:name="tSUM"/>
      <w:bookmarkEnd w:id="37"/>
      <w:r>
        <w:rPr>
          <w:rFonts w:ascii="Times New Roman;Times;serif" w:hAnsi="Times New Roman;Times;serif"/>
          <w:b/>
          <w:color w:val="000000"/>
          <w:sz w:val="20"/>
          <w:bdr w:val="single" w:sz="8" w:space="12" w:color="000000"/>
        </w:rPr>
        <w:t xml:space="preserve">SUMMARY OF THE MERGER </w:t>
      </w:r>
    </w:p>
    <w:p>
      <w:pPr>
        <w:pStyle w:val="TextBody"/>
        <w:bidi w:val="0"/>
        <w:spacing w:before="120" w:after="240"/>
        <w:ind w:left="240" w:right="0" w:firstLine="400"/>
        <w:jc w:val="both"/>
        <w:rPr/>
      </w:pPr>
      <w:r>
        <w:rPr>
          <w:rFonts w:ascii="Times New Roman;Times;serif" w:hAnsi="Times New Roman;Times;serif"/>
          <w:i/>
          <w:color w:val="000000"/>
          <w:sz w:val="20"/>
          <w:bdr w:val="single" w:sz="8" w:space="12" w:color="000000"/>
        </w:rPr>
        <w:t xml:space="preserve">This summary highlights selected information contained elsewhere in this joint proxy statement/prospectus and may not contain all of the information that is important to you. You should carefully read this entire joint proxy statement/prospectus, including the other documents to which this joint proxy statement/prospectus refers for a more complete understanding of the Merger. In particular, you should read the annexes attached to this joint proxy statement/prospectus, including the Merger Agreement, which is attached as Annex A hereto, as it is the legal document that governs the Merger. See the section entitled “Where You Can Find More Information” beginning on page </w:t>
      </w:r>
      <w:hyperlink w:anchor="tWYC">
        <w:r>
          <w:rPr>
            <w:rStyle w:val="InternetLink"/>
          </w:rPr>
          <w:t>203</w:t>
        </w:r>
      </w:hyperlink>
      <w:r>
        <w:rPr>
          <w:rFonts w:ascii="Times New Roman;Times;serif" w:hAnsi="Times New Roman;Times;serif"/>
          <w:i/>
          <w:color w:val="000000"/>
          <w:sz w:val="20"/>
          <w:bdr w:val="single" w:sz="8" w:space="12" w:color="000000"/>
        </w:rPr>
        <w:t>. For a discussion of the risk factors you should carefully consider, see the section entitled “Risk Factors” beginning on page </w:t>
      </w:r>
      <w:hyperlink w:anchor="tRF">
        <w:r>
          <w:rPr>
            <w:rStyle w:val="InternetLink"/>
          </w:rPr>
          <w:t>35</w:t>
        </w:r>
      </w:hyperlink>
      <w:r>
        <w:rPr>
          <w:rFonts w:ascii="Times New Roman;Times;serif" w:hAnsi="Times New Roman;Times;serif"/>
          <w:i/>
          <w:color w:val="000000"/>
          <w:sz w:val="20"/>
          <w:bdr w:val="single" w:sz="8" w:space="12" w:color="000000"/>
        </w:rPr>
        <w: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Parties to the Merger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BDC, Inc.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600 Madison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1800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New York, NY 10022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was formed on January 25, 2021 as a corporation under the laws of the State of Maryland. LIEN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LIEN primarily focuses on investments in the cannabis industry, LIEN may also invest in growth and technology companies, esoteric and asset-based lending opportunities, and liquidity solutions opportunities.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LIEN’s investment objective is to maximize risk-adjusted returns on equity for LIEN Shareholders. LIEN seeks to capitalize on, among other things, what LIEN believes to be nascent cannabis industry growth, and drive return on equity by generating current income from its debt investments and capital appreciation from its equity and equity-related investments. LIEN intends to achieve its investment objective by investing primarily in secured debt, unsecured debt, equity warrants and direct equity investments in privately held businesses. LIEN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 To date, LIEN has been focused on investing in first lien secured, fixed and floating rate debt with terms of two to four years. LIEN expects its secured loans to be secured by various types of assets of its borrowers. While the types of collateral securing any given secured loan will depend on the nature of the borrower’s business, common types of collateral LIEN expects to secure its loans include real property and certain personal property, including equipment, inventory, receivables, cash, intellectual property rights and other assets to the extent permitted by applicable laws and the regulations governing LIEN’s borrowers. Certain attractive assets of LIEN’s cannabis borrowers, such as cannabis licenses and cannabis inventory, may not be able to be used as collateral or transferred to LIEN. In some of LIEN’s portfolio investments, LIEN expects to receive nominally priced equity warrants and/or make direct equity investments in connection with a debt investment. In addition, a portion of LIEN’s portfolio may be comprised of derivatives, including total return swaps.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Generally, the loans LIEN invests in have a complete set of financial maintenance covenants, which are used to proactively address materially adverse changes in a portfolio company’s financial performance. However, LIEN may invest in “covenant-lite” loans. LIEN uses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LIEN invests in “covenant-lite” loans, LIEN may have fewer rights against a borrower and may have a greater risk of loss on such investments as compared to investments in or exposure to loans with a complete set of financial maintenance covenants.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loans in which LIEN tends to invest typically pay interest at rates which are determined periodically on the basis of U.S. Prime Rate (“PRIME”) or Secured Overnight Financing Rate (“SOFR”) plus a premium. The loans in which LIEN has invested and expects to invest are typically made to U.S. and, to a limited extent, non-U.S. (including emerging market) corporations, partnerships and other business entities which operate in various industries and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7966x1_n14_108-summary_pg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has typically invested in and expects to continue to invest in loans made primarily to private leveraged lower middle-market and middle-market companies with up to $100 million of earnings before interest, taxes, depreciation and amortization, or “EBITDA.” LIEN’s business model is focused primarily on the direct origination of investments through portfolio companies or their financial sponsors. LIEN expects that its investments will generally range between $2 million and $50 million each, although LIEN expects that this investment size will vary proportionately with the size of LIEN’s capital base. LIEN has an active pipeline of investments and is currently reviewing approximately $[ ] million of potential investments in varying stages of underwriting.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describes the four primary current sub-strategies of LIEN’s principal investment strategy. LIEN is not required to have a minimum investment in any of these sub-strategies. </w:t>
      </w:r>
    </w:p>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Cannabis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of LIEN’s cannabis investments are designed to be compliant with all applicable laws and regulations within the jurisdictions in which they are made or to which LIEN is otherwise subject, including U.S. federal laws. LIEN will make equity investments only in companies that are compliant with all applicable laws and regulations within the jurisdictions in which they are located or operate, including U.S. federal laws. LIEN may make loans to companies that LIEN determines based on its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LIEN is otherwise subject, including U.S. federal law. LIEN seeks to expand the compliant cannabis investment activities of LIEN Adviser’s leading investment platform in the cannabis industry. LIEN primarily seeks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LIEN’s investment in the cannabis company. LIEN is not required to invest a specific percentage of its assets in such cannabis companies, and LIEN may make debt and equity investments in other companies regardless of sector.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Adviser seeks to invest in cannabis companies that it believes have some or all of the following characteristics: </w:t>
      </w:r>
    </w:p>
    <w:tbl>
      <w:tblPr>
        <w:tblW w:w="3085" w:type="dxa"/>
        <w:jc w:val="left"/>
        <w:tblInd w:w="24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Growth or EBITDA positive entities </w:t>
            </w:r>
          </w:p>
        </w:tc>
      </w:tr>
    </w:tbl>
    <w:tbl>
      <w:tblPr>
        <w:tblW w:w="5710" w:type="dxa"/>
        <w:jc w:val="left"/>
        <w:tblInd w:w="24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require capital but do not want to dilute their equity </w:t>
            </w:r>
          </w:p>
        </w:tc>
      </w:tr>
    </w:tbl>
    <w:tbl>
      <w:tblPr>
        <w:tblW w:w="7030" w:type="dxa"/>
        <w:jc w:val="left"/>
        <w:tblInd w:w="24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are showing strong cash flow performance with low leverage profiles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Transactions that tend to be attractively priced and have better than normal covenants and amortization due to complexity of the industry </w:t>
            </w:r>
          </w:p>
        </w:tc>
      </w:tr>
    </w:tbl>
    <w:tbl>
      <w:tblPr>
        <w:tblW w:w="2485" w:type="dxa"/>
        <w:jc w:val="left"/>
        <w:tblInd w:w="24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Growth &amp; Technology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LIEN’s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Adviser seeks to invest in growth and technology focused companies that it believes have some or all of the following characteristics: </w:t>
      </w:r>
    </w:p>
    <w:tbl>
      <w:tblPr>
        <w:tblW w:w="5875" w:type="dxa"/>
        <w:jc w:val="left"/>
        <w:tblInd w:w="24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Industry leaders and disruptive companies experiencing strong growth </w:t>
            </w:r>
          </w:p>
        </w:tc>
      </w:tr>
    </w:tbl>
    <w:tbl>
      <w:tblPr>
        <w:tblW w:w="6475" w:type="dxa"/>
        <w:jc w:val="left"/>
        <w:tblInd w:w="24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have raised significant equity capital validating market value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7966x1_n14_108-summary_pg3"/>
        <w:bookmarkEnd w:id="39"/>
        <w:r>
          <w:rPr>
            <w:rStyle w:val="InternetLink"/>
            <w:rFonts w:ascii="Times New Roman;Times;Serif" w:hAnsi="Times New Roman;Times;Serif"/>
            <w:b/>
            <w:caps w:val="false"/>
            <w:smallCaps w:val="false"/>
            <w:color w:val="000000"/>
            <w:sz w:val="16"/>
          </w:rPr>
          <w:t>TABLE OF CONTENTS</w:t>
        </w:r>
      </w:hyperlink>
    </w:p>
    <w:tbl>
      <w:tblPr>
        <w:tblW w:w="9835" w:type="dxa"/>
        <w:jc w:val="left"/>
        <w:tblInd w:w="24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Industry focus typically includes software, hardware, e-commerce, direct to consumer and other fast-growing companies </w:t>
            </w:r>
          </w:p>
        </w:tc>
      </w:tr>
    </w:tbl>
    <w:tbl>
      <w:tblPr>
        <w:tblW w:w="6115" w:type="dxa"/>
        <w:jc w:val="left"/>
        <w:tblInd w:w="24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Liquidity covenants that ensure such company has adequate cash runway </w:t>
            </w:r>
          </w:p>
        </w:tc>
      </w:tr>
    </w:tbl>
    <w:tbl>
      <w:tblPr>
        <w:tblW w:w="2485" w:type="dxa"/>
        <w:jc w:val="left"/>
        <w:tblInd w:w="24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w:t>
            </w:r>
          </w:p>
        </w:tc>
      </w:tr>
    </w:tbl>
    <w:tbl>
      <w:tblPr>
        <w:tblW w:w="4765" w:type="dxa"/>
        <w:jc w:val="left"/>
        <w:tblInd w:w="24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Profitable or demonstrated path to near term profitability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Esoteric &amp; Asset-Based Lending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LIEN to extract lender-friendly terms and covenants from companies with relatively low leverage and overall credit risk.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Adviser seeks to invest in esoteric industries or companies in need of asset-based loans that it believes have some or all of the following characteristics: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Companies that are showing strong cash flow performance with low leverage profiles, but the industries carry regulatory, reputational or other risks </w:t>
            </w:r>
          </w:p>
        </w:tc>
      </w:tr>
    </w:tbl>
    <w:tbl>
      <w:tblPr>
        <w:tblW w:w="8935" w:type="dxa"/>
        <w:jc w:val="left"/>
        <w:tblInd w:w="24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Companies with attractive assets, including, but not limited to, accounts receivable, equipment or real estate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Transactions that tend to be attractively priced and have better than normal covenants and amortization due to complexity of the industry or situation </w:t>
            </w:r>
          </w:p>
        </w:tc>
      </w:tr>
    </w:tbl>
    <w:tbl>
      <w:tblPr>
        <w:tblW w:w="4480" w:type="dxa"/>
        <w:jc w:val="left"/>
        <w:tblInd w:w="24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asset value and/or enterprise value ratios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Liquidity Solutions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 LIEN to extract relatively lender friendly terms and covenants.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Adviser seeks to invest in liquidity solutions opportunities that it believes have some or all of the following characteristics: </w:t>
      </w:r>
    </w:p>
    <w:tbl>
      <w:tblPr>
        <w:tblW w:w="3025" w:type="dxa"/>
        <w:jc w:val="left"/>
        <w:tblInd w:w="24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Financing is typically event driven </w:t>
            </w:r>
          </w:p>
        </w:tc>
      </w:tr>
    </w:tbl>
    <w:tbl>
      <w:tblPr>
        <w:tblW w:w="9220" w:type="dxa"/>
        <w:jc w:val="left"/>
        <w:tblInd w:w="24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Companies that are pursuing a merger, acquisition, refinancing, dividend recap, or other strategic liquidity need </w:t>
            </w:r>
          </w:p>
        </w:tc>
      </w:tr>
    </w:tbl>
    <w:tbl>
      <w:tblPr>
        <w:tblW w:w="7030" w:type="dxa"/>
        <w:jc w:val="left"/>
        <w:tblInd w:w="24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are showing strong cash flow performance with low leverage profiles </w:t>
            </w:r>
          </w:p>
        </w:tc>
      </w:tr>
    </w:tbl>
    <w:tbl>
      <w:tblPr>
        <w:tblW w:w="8020" w:type="dxa"/>
        <w:jc w:val="left"/>
        <w:tblInd w:w="24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have multiple areas of value and liquidity in addition to the underlying business </w:t>
            </w:r>
          </w:p>
        </w:tc>
      </w:tr>
    </w:tbl>
    <w:tbl>
      <w:tblPr>
        <w:tblW w:w="2980" w:type="dxa"/>
        <w:jc w:val="left"/>
        <w:tblInd w:w="24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ratios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February 8, 2022, LIEN closed its initial public offering (“IPO”) and its common stock began trading on the NASDAQ on February 4, 2022. Since October 2, 2024, LIEN Common Stock has traded on the NASDAQ under the symbol “LIEN.”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March 31, 2026, based on fair value, LIEN’s portfolio consisted of 91.1% first lien senior secured loans, 7.7% senior secured notes, 0.7% warrants, 0.4% second lien senior secured loans and 0.1% preferred stock. As of March 31, 2026, 76.4% of LIEN’s debt investments based on outstanding principal balance represented floating-rate investments based on PRIME and SOFR and approximately 23.6% of LIEN’s debt investments based on outstanding principal balance represented fixed rate investments. As of March 31, 2026, LIEN’s investment portfolio had an aggregate fair value of approximately $364 million across 40 portfolio companies.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uses the North American Industry Classification System (“NAICS”) code for classifying the industry grouping of its portfolio companies, excluding any portfolio company operating in the cannabis industry. As of March 31, 2026, LIEN’s portfolio was invested across nine different industries. The largest industry in LIEN’s portfolio as of March 31, 2026 was cannabis, which represented 76.4% of LIEN’s total portfolio, based on fair value.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7966x1_n14_108-summary_pg4"/>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is an externally managed, closed-end, non-diversified management investment company that has elected to be regulated as a BDC under the 1940 Act. LIEN has elected to be treated, and intends to qualify annually, as a RIC under Subchapter M of the Code for U.S. federal income tax purposes. As a BDC and a RIC, LIEN is required to comply with certain regulatory requirements. As a BDC, at least 70% of LIEN’s assets must be assets of the type listed in Section 55(a) of the 1940 Act. LIEN will not invest more than 20% of its total assets in companies whose principal place of business is outside the United States.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generally intends to distribute, out of assets legally available for distribution, substantially all of its available earnings, on a quarterly basis, as determined by the LIEN Board in its sole discretion.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is advised by LIEN Adviser pursuant to the LIEN Investment Advisory Agreement. LIEN Adviser is registered as an investment adviser with the SEC. LIEN Adviser is an affiliate of Chicago Atlantic Group, LP (together with its affiliates, “Chicago Atlantic”) and part of Chicago Atlantic’s credit platform, which focuses on direct lending.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To achieve its investment objective, LIEN will leverage Chicago Atlantic’s, and, in particular, LIEN Adviser’s investment committee’s (the “LIEN Adviser Investment Committee”) extensive network of relationships with other sophisticated institutions to source, evaluate and, as appropriate, partner with on transactions. There are no assurances that LIEN will achieve its investment objective.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may borrow money from time to time if immediately after such borrowing, the ratio of its total assets (less total liabilities other than indebtedness represented by senior securities) to its total indebtedness represented by senior securities plus preferred stock, if any, is at least 150%. This means that generally, LIEN can borrow up to $2 for every $1 of investor equity. LIEN currently has in place a senior secured revolving credit facility (the “LIEN Revolving Credit Facility”) and in the future may enter into additional credit facilities. LIEN expects to use its credit facility and other borrowings, along with proceeds from the rotation of its portfolio, to finance its investment objectives. </w:t>
      </w:r>
    </w:p>
    <w:p>
      <w:pPr>
        <w:pStyle w:val="TextBody"/>
        <w:bidi w:val="0"/>
        <w:spacing w:before="1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Real Estate Finance, Inc.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420 North Wabash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500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Chicago, Illinois 60611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is a Maryland corporation formed on March 30, 2021. REFI’s primary investment objective is to provide attractive, risk-adjusted returns for shareholders over time primarily through consistent current income dividends and other distributions and secondarily through capital appreciation. REFI intends to achieve this objective by originating, structuring and investing in first mortgage loans and alternative structured financings secured by commercial real estate properties. REFI’s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REFI aims to maintain a diversified portfolio across jurisdictions and verticals, including cultivators, processors, dispensaries, and other businesses ancillary thereto.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REFI’s loans to portfolio companies operating in the cannabis industry may include companies that REFI determines, based on REFI’s due diligence, are licensed in and in compliance with, state-regulated cannabis programs, regardless of their status under U.S. federal law, so long as the investment itself is designed to be compliant with all applicable laws and regulations in the jurisdiction in which the investment is made or to which REFI is otherwise subject, including U.S. federal law. REFI will not own any warrants or other forms of equity in any of its portfolio companies involved in the cannabis industry, unless the portfolio companies are listed on a national securities exchange, such as the New York Stock Exchange (“NYSE”) or NASDAQ, and such ownership is permitted by applicable U.S. federal laws and regulations, including those applicable to NYSE or NASDAQ issuers, as the case may be.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believes that cannabis operators’ limited access to traditional bank and non-bank financing has provided attractive opportunities for REFI to make loans to companies that exhibit strong fundamentals but require more customized financing structures and loan products than regulated financial institutions can provide in the current regulatory environment. REFI believes that continued state-level legalization of cannabis for medical and adult use creates an increased loan demand by companies operating in the cannabis industry and property owners leasing to cannabis tenants. Furthermore, REFI believes it is differentiated from its competitors because it seeks to target operators and facilities that exhibit lower-risk characteristics on a relative basis, which REFI believes include generally limiting exposure to ground-up construction, lending to cannabis operators with operational and/or profitable facilities,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7966x1_n14_108-summary_pg5"/>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diversification of geographies and distribution channels, among other factors. Additionally, REFI Manager seeks to invest in transactions that tend to be attractively priced and have stronger than normal covenants and amortization due to complexity of the industry and in cannabis companies that it believes have some or all of the following characteristics: </w:t>
      </w:r>
    </w:p>
    <w:tbl>
      <w:tblPr>
        <w:tblW w:w="3085" w:type="dxa"/>
        <w:jc w:val="left"/>
        <w:tblInd w:w="24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Growth or EBITDA positive entities </w:t>
            </w:r>
          </w:p>
        </w:tc>
      </w:tr>
    </w:tbl>
    <w:tbl>
      <w:tblPr>
        <w:tblW w:w="5710" w:type="dxa"/>
        <w:jc w:val="left"/>
        <w:tblInd w:w="24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require capital but do not want to dilute their equity </w:t>
            </w:r>
          </w:p>
        </w:tc>
      </w:tr>
    </w:tbl>
    <w:tbl>
      <w:tblPr>
        <w:tblW w:w="7045" w:type="dxa"/>
        <w:jc w:val="left"/>
        <w:tblInd w:w="24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that demonstrate strong cash flow performance with low leverage profiles </w:t>
            </w:r>
          </w:p>
        </w:tc>
      </w:tr>
    </w:tbl>
    <w:tbl>
      <w:tblPr>
        <w:tblW w:w="2980" w:type="dxa"/>
        <w:jc w:val="left"/>
        <w:tblInd w:w="24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Low debt to enterprise value ratios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REFI’s loans are generally secured by real estate and, when lending to owner-operators in the cannabis industry, other collateral, such as equipment, receivables, intellectual property, licenses or other assets of the borrowers to the extent permitted by applicable laws and regulations governing such borrowers. REFI also seeks personal or corporate guarantees for additional credit protection on its loans.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Generally, the loans REFI invests in have a complete set of financial maintenance covenants, which are used to proactively address materially adverse changes in a portfolio company’s financial performance. However, REFI occasionally invests in “covenant-lite” loans. REFI uses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REFI invests in “covenant-lite” loans, REFI may have fewer rights against a borrower and may have a greater risk of loss on such investments as compared to investments in or exposure to loans with a complete set of financial maintenance covenants.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may also invest in companies or properties that are not related to the cannabis industry that provide return characteristics consistent with REFI’s investment objective. From time to time, REFI may also invest in mezzanine loans, preferred equity or other forms of joint venture equity to the extent consistent with REFI’s exemption from registration under the 1940 Act and maintaining REFI’s qualification as a REIT. REFI may enter into credit agreements with borrowers that permit them to incur debt that ranks equally with, or senior to, the loans REFI extends to such companies under such credit agreements.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December 8, 2021, REFI Common Stock was listed and began trading on the NASDAQ under the symbol “REFI.”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March 31, 2026, REFI’s loan portfolio included 29 loans held for investment, with $413.6 million in principal outstanding, and approximately $4.5 million in unfunded commitments under delayed draw term loan facilities.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March 31, 2026, REFI’s loan portfolio had a weighted-average yield-to-maturity internal rate of return (“YTM IRR”) of 15.8% and was substantially secured by real estate and, with respect to certain of REFI’s loans, substantially all assets of the borrowers and certain of their subsidiaries, including equipment, receivables, and licenses. As of March 31, 2026, 64.8% of REFI’s loans represented floating-rate investments based on PRIME and SOFR and approximately 35.2% of REFI’s loans represented fixed rate investments.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is externally managed by REFI Manager pursuant to the terms of the management agreement dated May 1, 2021, and amended in October 2021, by and among the REFI and REFI Manager (the “REFI Management Agreement”). REFI Manager is wholly owned by Chicago Atlantic Group, L.P. and part of Chicago Atlantic’s credit platform, which focuses on direct lending.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To achieve its investment objective, REFI will leverage Chicago Atlantic’s, and, in particular, REFI Manager’s investment committee’s (the “REFI Manager Investment Committee”) extensive network of relationships with other sophisticated institutions to source, evaluate and, as appropriate, partner with on transactions. There are no assurances that REFI will achieve its investment objective.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is a commercial mortgage REIT. REFI has elected to be taxed as a REIT for U.S. federal income tax purposes under the Code. REFI generally intends to distribute, out of assets legally available for distribution, substantially all of its available earnings, on a quarterly basis, as determined by the REFI Board in its sole discretion.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7966x1_n14_108-summary_pg6"/>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currently has in place a loan and security agreement (the “REFI Revolving Credit Facility”) and in the future may enter into additional credit facilities. In addition, REFI has issued $50 million in senior unsecured notes (the “REFI Unsecured Notes”) and in the future may issue additional unsecured notes. REFI expects to use its credit facility and other borrowings, along with proceeds from the rotation of its portfolio, to finance its investment objectives.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July 9, 2026, REFI entered into a Loan Agreement with Koach Capital Fund I LLC, Koach Capital Fund II LP, Koach Capital Fund III LP and their respective wholly-owned subsidiaries (collectively, “Koach”), pursuant to which REFI issued 4,306,754 shares of REFI Common Stock, at a price of $14.53 per share, in a private placement in exchange for second lien promissory notes issued by Koach in an aggregate principal amount of approximately $62.5 million (collectively, the “Koach Notes” and, such transaction, the “Koach Transaction”). The shares issued to Koach represent approximately 16.8% of the shares of REFI Common Stock outstanding immediately after giving effect to the issuance. The Koach Notes are individually secured by mortgages on 32 retail and related properties leased to cannabis operators, are subordinate to senior first lien indebtedness of approximately $39 million as of the closing date, bear interest at an aggregate rate of 12.0% per annum (10.0% cash and 2.0% payment-in-kind), have an aggregate weighted average time to maturity of approximately 12 years, and provide for an exit fee of 2.5x the commitment amount of each Koach Note. The Koach investors are subject to lock-up letters restricting transfers of their shares of REFI Common Stock for periods of three months (as to 20% of the shares) and six months (as to the remaining 80% of the shares), in each case following the closing date, subject to limited exceptions. For additional information regarding the Koach Transaction, see REFI’s Current Report on Form 8-K filed with the SEC on July 13, 2026, which is incorporated by reference into this joint proxy statement/prospectus.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Because the Koach Transaction was consummated prior to the Determination Date, the additional shares of REFI Common Stock issued in the Koach Transaction and the assets of REFI attributable to the Koach Notes will be reflected in the calculation of the Closing REFI NAV per share, and therefore in the Exchange Ratio. REFI expects the Koach Transaction to be neutral or slightly accretive to REFI’s adjusted book value per share, consistent with the expectations described to the REFI Special Committee and the REFI Board prior to their approval of the Merger Agreement. However, the actual impact of the Koach Transaction on the Closing REFI NAV per share, and therefore on the Exchange Ratio, will not be determinable until the Determination Date and may differ from these expectations. See “</w:t>
      </w:r>
      <w:r>
        <w:rPr>
          <w:rFonts w:ascii="Times New Roman;Times;serif" w:hAnsi="Times New Roman;Times;serif"/>
          <w:i/>
          <w:color w:val="000000"/>
          <w:sz w:val="20"/>
          <w:bdr w:val="single" w:sz="8" w:space="12" w:color="000000"/>
        </w:rPr>
        <w:t>Risk Factors — Risks Relating to the Merger</w:t>
      </w:r>
      <w:r>
        <w:rPr>
          <w:rFonts w:ascii="Times New Roman;Times;serif" w:hAnsi="Times New Roman;Times;serif"/>
          <w:color w:val="000000"/>
          <w:sz w:val="20"/>
          <w:bdr w:val="single" w:sz="8" w:space="12" w:color="000000"/>
        </w:rPr>
        <w:t xml:space="preserve">.” </w:t>
      </w:r>
    </w:p>
    <w:p>
      <w:pPr>
        <w:pStyle w:val="TextBody"/>
        <w:bidi w:val="0"/>
        <w:spacing w:before="17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BDC Advisers, LLC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600 Madison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1800,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New York, NY 10022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Adviser is registered as an investment adviser under the Investment Advisers Act of 1940, as amended (the “Advisers Act”) and, subject to the overall supervision of the LIEN Board, manages LIEN’s day-to-day operations, and provides investment advisory and management services to LIEN. LIEN Adviser or its affiliates may engage in certain origination activities and receive attendant arrangement, structuring or similar fees. LIEN Adviser is responsible for managing LIEN’s business and activities, including sourcing investment opportunities, conducting research, performing diligence on potential investments, structuring LIEN’s investments, and monitoring LIEN’s portfolio companies on an ongoing basis through a team of investment professionals. LIEN Adviser is a Delaware limited liability company and an affiliate of Chicago Atlantic and part of Chicago Atlantic’s credit platform, which focuses on direct lending.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Adviser Investment Committee is currently led by Peter Sack, Scott Gordon, Umesh Mahajan, John Mazarakis and Andreas Bodmeier, and is supported by certain members of LIEN Adviser’s senior executive team and Chicago Atlantic’s credit platform’s investment committees. Following completion of the Merger, the LIEN Adviser Investment Committee is expected to be comprised of: Peter Sack, Scott Gordon, Umesh Mahajan, Anthony Cappell, John Mazarakis and David Kite.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Adviser and its affiliates may face conflicts in the allocation of investment opportunities to LIEN and others. In order to address these conflicts, LIEN Adviser and its affiliates have put in place an investment allocation policy that addresses the allocation of investment opportunities as well as co-investment restrictions under the 1940 Act. See “</w:t>
      </w:r>
      <w:r>
        <w:rPr>
          <w:rFonts w:ascii="Times New Roman;Times;serif" w:hAnsi="Times New Roman;Times;serif"/>
          <w:i/>
          <w:color w:val="000000"/>
          <w:sz w:val="20"/>
          <w:bdr w:val="single" w:sz="8" w:space="12" w:color="000000"/>
        </w:rPr>
        <w:t>Certain Relationships and Related Party Transactions of LIEN</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7966x1_n14_108-summary_pg7"/>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LIEN Adviser also serves as LIEN’s administrator pursuant to the LIEN Administration Agreement. See “</w:t>
      </w:r>
      <w:r>
        <w:rPr>
          <w:rFonts w:ascii="Times New Roman;Times;serif" w:hAnsi="Times New Roman;Times;serif"/>
          <w:i/>
          <w:color w:val="000000"/>
          <w:sz w:val="20"/>
          <w:bdr w:val="single" w:sz="8" w:space="12" w:color="000000"/>
        </w:rPr>
        <w:t>Comparative Fees and Expenses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Certain Relationships and Related Party Transactions of LIEN</w:t>
      </w:r>
      <w:r>
        <w:rPr>
          <w:rFonts w:ascii="Times New Roman;Times;serif" w:hAnsi="Times New Roman;Times;serif"/>
          <w:color w:val="000000"/>
          <w:sz w:val="20"/>
          <w:bdr w:val="single" w:sz="8" w:space="12" w:color="000000"/>
        </w:rPr>
        <w:t xml:space="preserve">” for a discussion of the fees and expenses LIEN pays to LIEN Adviser pursuant to the LIEN Investment Advisory Agreement and LIEN Administration Agreement. </w:t>
      </w:r>
    </w:p>
    <w:p>
      <w:pPr>
        <w:pStyle w:val="TextBody"/>
        <w:bidi w:val="0"/>
        <w:spacing w:before="1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Chicago Atlantic REIT Manager, LLC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caps w:val="false"/>
          <w:smallCaps w:val="false"/>
          <w:color w:val="000000"/>
          <w:bdr w:val="single" w:sz="8" w:space="12" w:color="000000"/>
        </w:rPr>
      </w:pPr>
      <w:r>
        <w:rPr>
          <w:caps w:val="false"/>
          <w:smallCaps w:val="false"/>
          <w:color w:val="000000"/>
          <w:bdr w:val="single" w:sz="8" w:space="12" w:color="000000"/>
        </w:rPr>
        <w:t>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420 North Wabash Avenue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Suite 500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Chicago, Illinois 60611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(312) 625-9295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Manager, subject to the overall supervision of the REFI Board, manages REFI’s day-to-day operations, and provides management services to REFI. REFI Manager and/or its affiliates may engage in certain origination activities and receive arrangement, structuring or similar fees. REFI Manager is responsible for managing REFI’s business and activities, including sourcing investment opportunities, conducting research, performing diligence on potential investments, structuring REFI’s investments, and monitoring REFI’s portfolio companies on an ongoing basis through a team of investment professionals. REFI Manager is a Delaware limited liability company that is wholly owned by Chicago Atlantic Group, LP. and is part of Chicago Atlantic’s credit platform. See “</w:t>
      </w:r>
      <w:r>
        <w:rPr>
          <w:rFonts w:ascii="Times New Roman;Times;serif" w:hAnsi="Times New Roman;Times;serif"/>
          <w:i/>
          <w:color w:val="000000"/>
          <w:sz w:val="20"/>
          <w:bdr w:val="single" w:sz="8" w:space="12" w:color="000000"/>
        </w:rPr>
        <w:t>Summary of the Merger — About Chicago Atlantic’s Credit Platform.</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Manager and its affiliates may face conflicts in the allocation of investment opportunities to REFI and others. In order to address these conflicts, REFI Manager and its affiliates have put in place an investment allocation policy that addresses the allocation of investment opportunities as well as co-investment restrictions under the 1940 Act. See “</w:t>
      </w:r>
      <w:r>
        <w:rPr>
          <w:rFonts w:ascii="Times New Roman;Times;serif" w:hAnsi="Times New Roman;Times;serif"/>
          <w:i/>
          <w:color w:val="000000"/>
          <w:sz w:val="20"/>
          <w:bdr w:val="single" w:sz="8" w:space="12" w:color="000000"/>
        </w:rPr>
        <w:t>Certain Relationships and Related Party Transactions of REFI</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Comparative Fees and Expenses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Certain Relationships and Related Party Transactions of REFI</w:t>
      </w:r>
      <w:r>
        <w:rPr>
          <w:rFonts w:ascii="Times New Roman;Times;serif" w:hAnsi="Times New Roman;Times;serif"/>
          <w:color w:val="000000"/>
          <w:sz w:val="20"/>
          <w:bdr w:val="single" w:sz="8" w:space="12" w:color="000000"/>
        </w:rPr>
        <w:t xml:space="preserve">” for a discussion of the fees and expenses REFI pays to REFI Manager pursuant to the REFI Management Agreement. </w:t>
      </w:r>
    </w:p>
    <w:p>
      <w:pPr>
        <w:pStyle w:val="TextBody"/>
        <w:bidi w:val="0"/>
        <w:spacing w:before="2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About Chicago Atlantic’s Credit Platform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Chicago Atlantic’s credit platform focuses on direct lending. Chicago Atlantic’s credit platform is comprised of LIEN Adviser, REFI Manager and Chicago Atlantic Advisers, LLC and its relying advisers, each of which is an affiliate of Chicago Atlantic. Chicago Atlantic’s credit platform is led by John Mazarakis, Scott Gordon, Anthony Cappell, Peter Sack, David Kite and Umesh Mahajan.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March 31, 2026, Chicago Atlantic had approximately $2.4 billion in capital under management (total committed investor capital, total available leverage including undrawn capital and capital invested by co-investors and managed by the firm).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Chicago Atlantic focuses on direct lending primarily to privately-held lower and middle-market companies typically with up to $100 million of earnings before interest, taxes, depreciation and amortization, or “EBITDA,” across the following four investment sub-strategies which are offered through a BDC, a REIT, private funds and separately managed accounts: </w:t>
      </w:r>
    </w:p>
    <w:tbl>
      <w:tblPr>
        <w:tblW w:w="9965" w:type="dxa"/>
        <w:jc w:val="left"/>
        <w:tblInd w:w="240" w:type="dxa"/>
        <w:tblLayout w:type="fixed"/>
        <w:tblCellMar>
          <w:top w:w="0" w:type="dxa"/>
          <w:left w:w="0" w:type="dxa"/>
          <w:bottom w:w="0" w:type="dxa"/>
          <w:right w:w="0" w:type="dxa"/>
        </w:tblCellMar>
      </w:tblPr>
      <w:tblGrid>
        <w:gridCol w:w="155"/>
        <w:gridCol w:w="7671"/>
        <w:gridCol w:w="140"/>
        <w:gridCol w:w="140"/>
        <w:gridCol w:w="1703"/>
        <w:gridCol w:w="156"/>
      </w:tblGrid>
      <w:tr>
        <w:trPr/>
        <w:tc>
          <w:tcPr>
            <w:tcW w:w="155" w:type="dxa"/>
            <w:tcBorders/>
            <w:vAlign w:val="center"/>
          </w:tcPr>
          <w:p>
            <w:pPr>
              <w:pStyle w:val="TableContents"/>
              <w:bidi w:val="0"/>
              <w:spacing w:before="0" w:after="0"/>
              <w:jc w:val="left"/>
              <w:rPr/>
            </w:pPr>
            <w:r>
              <w:rPr/>
              <w:t> </w:t>
            </w:r>
          </w:p>
        </w:tc>
        <w:tc>
          <w:tcPr>
            <w:tcW w:w="767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6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Strategy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671"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Cannabis Lending. </w:t>
            </w:r>
            <w:r>
              <w:rPr>
                <w:rFonts w:ascii="Times New Roman;Times;serif" w:hAnsi="Times New Roman;Times;serif"/>
                <w:b w:val="false"/>
                <w:color w:val="000000"/>
                <w:sz w:val="20"/>
              </w:rPr>
              <w:t>The cannabis lending strategy seeks to generate current income and, to a lesser extent, capital appreciation by partnering with private equity firms, entrepreneurs, business owners and management teams to provide credit and equity financing alternatives that support buyouts, recapitalizations, growth initiatives, refinancings and acquisitions across cannabis companies, including cannabis-enabling technology companies, cannabis-related health and wellness companies, and hemp and CBD distribution companies. All cannabis investments are designed to be compliant with applicable laws and regulations in the relevant jurisdictions, including U.S. federal law; equity investments are made only in companies compliant with such laws, while loans may be made to companies licensed in, and complying with,</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cannabis lending strategy is primarily offered through LIEN, REFI, the private funds and separately managed accounts.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67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03"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7966x1_n14_108-summary_pg8"/>
        <w:bookmarkEnd w:id="4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55"/>
        <w:gridCol w:w="7806"/>
        <w:gridCol w:w="140"/>
        <w:gridCol w:w="140"/>
        <w:gridCol w:w="1568"/>
        <w:gridCol w:w="156"/>
      </w:tblGrid>
      <w:tr>
        <w:trPr/>
        <w:tc>
          <w:tcPr>
            <w:tcW w:w="155" w:type="dxa"/>
            <w:tcBorders/>
            <w:vAlign w:val="center"/>
          </w:tcPr>
          <w:p>
            <w:pPr>
              <w:pStyle w:val="TableContents"/>
              <w:bidi w:val="0"/>
              <w:spacing w:before="0" w:after="0"/>
              <w:jc w:val="left"/>
              <w:rPr/>
            </w:pPr>
            <w:r>
              <w:rPr/>
              <w:t> </w:t>
            </w:r>
          </w:p>
        </w:tc>
        <w:tc>
          <w:tcPr>
            <w:tcW w:w="780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8"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Strategy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state-regulated cannabis programs regardless of their U.S. federal status, so long as the investment itself is designed to be compliant. Under normal circumstances, each cannabis company derives at least 50% of its revenues or profits from, or commits at least 50% of its assets to, cannabis-related activities at the time of investment, though the Chicago Atlantic platform does not mandate a specific percentage of assets be invested in cannabis companies and entities may invest in other companies regardless of sector. Chicago Atlantic targets companies exhibiting some or all of the following: growth or positive EBITDA; a need for capital without equity dilution; strong cash flow with low leverage; attractive pricing with better-than-normal covenants and amortization given the industry’s complexity; and low debt-to-enterprise value.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Growth and Technology Lending. </w:t>
            </w:r>
            <w:r>
              <w:rPr>
                <w:rFonts w:ascii="Times New Roman;Times;serif" w:hAnsi="Times New Roman;Times;serif"/>
                <w:b w:val="false"/>
                <w:color w:val="000000"/>
                <w:sz w:val="20"/>
              </w:rPr>
              <w:t>The growth and technology lending strategy focuses on industry leaders and disruptive companies experiencing strong growth trajectories that typically need capital to support continued revenue growth or business expansion. In most cases, these businesses have found a niche in their respective markets, proven their customer value proposition, and reached significant revenue milestones; they include private equity- and venture capital-backed businesses as well as non-sponsor-backed companies, and in most cases have raised a significant amount of equity capital, resulting in low overall loan to enterprise value. Chicago Atlantic targets growth and technology focused companies that it believes have some or all of the following characteristics: industry leaders and disruptive companies experiencing strong growth; companies that have raised significant equity capital validating market value; an industry focus typically including software, hardware, e-commerce, direct-to-consumer and other fast-growing companies; liquidity covenants that ensure adequate cash runway; low debt to enterprise value; and profitable operations or a demonstrated path to near-term profitability.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growth and technology lending strategy is primarily offered through LIEN, the private funds and separately managed accounts.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806"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Esoteric and Asset-Based Lending. </w:t>
            </w:r>
            <w:r>
              <w:rPr>
                <w:rFonts w:ascii="Times New Roman;Times;serif" w:hAnsi="Times New Roman;Times;serif"/>
                <w:b w:val="false"/>
                <w:color w:val="000000"/>
                <w:sz w:val="20"/>
              </w:rPr>
              <w:t>The esoteric and asset-based lending strategy focuses on established companies with strong cash flow profiles in industries that carry idiosyncratic or reputational risks that limit access to traditional sources of capital, as well as companies or opportunities with strong asset collateral coverage, low loan values or other attractive risk-reward features. The lack of access to traditional sources of capital typically enables Chicago Atlantic to extract lender-friendly terms and covenants from companies with relatively low leverage and overall credit risk. Chicago Atlantic targets esoteric industries or companies in need of asset-based loans that it believes have some or all of the following characteristics: strong cash flow performance with low leverage profiles in industries that carry regulatory, reputational or other risks; attractive assets, including but not limited to accounts receivable, equipment or real estate; transactions that tend to be attractively priced with better-than-normal covenants and amortization given the complexity of the industry or situation; and low debt to asset value and/or enterprise value ratios.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esoteric and asset-based lending strategy is primarily offered through LIEN, the private funds and separately managed accounts.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80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568"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7966x1_n14_108-summary_pg9"/>
        <w:bookmarkEnd w:id="45"/>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55"/>
        <w:gridCol w:w="7705"/>
        <w:gridCol w:w="140"/>
        <w:gridCol w:w="140"/>
        <w:gridCol w:w="1669"/>
        <w:gridCol w:w="156"/>
      </w:tblGrid>
      <w:tr>
        <w:trPr/>
        <w:tc>
          <w:tcPr>
            <w:tcW w:w="155" w:type="dxa"/>
            <w:tcBorders/>
            <w:vAlign w:val="center"/>
          </w:tcPr>
          <w:p>
            <w:pPr>
              <w:pStyle w:val="TableContents"/>
              <w:bidi w:val="0"/>
              <w:spacing w:before="0" w:after="0"/>
              <w:jc w:val="left"/>
              <w:rPr/>
            </w:pPr>
            <w:r>
              <w:rPr/>
              <w:t> </w:t>
            </w:r>
          </w:p>
        </w:tc>
        <w:tc>
          <w:tcPr>
            <w:tcW w:w="770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9"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7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Strategy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6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705"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Solutions Lending. </w:t>
            </w:r>
            <w:r>
              <w:rPr>
                <w:rFonts w:ascii="Times New Roman;Times;serif" w:hAnsi="Times New Roman;Times;serif"/>
                <w:b w:val="false"/>
                <w:color w:val="000000"/>
                <w:sz w:val="20"/>
              </w:rPr>
              <w:t>The liquidity solutions lending strategy typically focuses on event-driven opportunities for established businesses, including but not limited to mergers, acquisitions, refinancings, dividend recaps or other strategically driven liquidity needs. These businesses also tend to be in complex industries, have time-sensitive financing aspects, or require idiosyncratic structuring expertise that enables the fund to extract relatively lender-friendly terms and covenants. Chicago Atlantic targets liquidity solutions opportunities that it believes have some or all of the following characteristics: financing that is typically event-driven; companies pursuing a merger, acquisition, refinancing, dividend recap or other strategic liquidity need; strong cash flow performance with low leverage profiles; multiple areas of value and liquidity in addition to the underlying business; and low debt to enterprise value ratios.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liquidity solutions lending strategy is primarily offered through LIEN, the private funds and separately managed accounts.</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70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669"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REFI and the private funds and separately managed accounts managed by Chicago Atlantic are referred to as the “Chicago Atlantic Credit Clients.”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Merger Structure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terms of the Merger Agreement, at the Merger Effective Time, REFI will merge with and into LIEN in accordance with the Maryland General Corporation Law (“MGCL”), with LIEN as the surviving entity. As of the Merger Effective Time, the separate corporate existence of REFI will cease and LIEN will continue its existence as a corporation under the laws of the State of Maryland.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Merger Effective Time, each share of REFI Common Stock issued and outstanding immediately prior to the Merger Effective Time, except for Cancelled Shares, if any, but including the net number of shares of REFI Restricted Stock that vest immediately prior to the Merger Effective Time, if any, shall be converted into the right to receive a number of shares of LIEN Common Stock equal to the Exchange Ratio in connection with the closing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is attached as </w:t>
      </w:r>
      <w:r>
        <w:rPr>
          <w:rFonts w:ascii="Times New Roman;Times;serif" w:hAnsi="Times New Roman;Times;serif"/>
          <w:i/>
          <w:color w:val="000000"/>
          <w:sz w:val="20"/>
          <w:bdr w:val="single" w:sz="8" w:space="12" w:color="000000"/>
        </w:rPr>
        <w:t xml:space="preserve">Annex A </w:t>
      </w:r>
      <w:r>
        <w:rPr>
          <w:rFonts w:ascii="Times New Roman;Times;serif" w:hAnsi="Times New Roman;Times;serif"/>
          <w:color w:val="000000"/>
          <w:sz w:val="20"/>
          <w:bdr w:val="single" w:sz="8" w:space="12" w:color="000000"/>
        </w:rPr>
        <w:t xml:space="preserve">to this joint proxy statement/prospectus and is incorporated by reference into this joint proxy statement/prospectus. LIEN and REFI encourage their respective shareholders to read the Merger Agreement carefully and, in its entirety, as it is the principal legal document governing the Merger.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consummated, each REFI Shareholder will be entitled to receive a number of shares of LIEN Common Stock equal to the Exchange Ratio for each share of REFI Common Stock, which Exchange Ratio will be appropriately adjusted if, between the Determination Date and the Merger Effective Time, (i) either LIEN or REFI declares or pays an extraordinary dividend, or (ii)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has been authorized and declared with a record date within such period, in each case, to provide LIEN Shareholders and REFI Shareholders the same economic effect as contemplated by the Merger Agreement prior to such event. Closing of the Merger is contingent upon (i) LIEN Shareholder approval of the Merger Stock Issuance Proposal and the Merger Agreement, including the Merger and related transactions, (ii) REFI Shareholder approval of the BDC Election Matters and the Merger Proposal, and (iii) certain other closing conditions. No fractional shares of LIEN Common Stock will be issued, and holders of REFI Common Stock will receive cash in lieu of fractional shares.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the Exchange Ratio will be determined as of the Determination Date. As of the Determination Date, LIEN will deliver to REFI its calculation of the Closing LIEN NAV and REFI will deliver to LIEN its calculation of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7966x1_n14_108-summary_pg10"/>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Exchange Ratio is the ratio of the Closing REFI NAV to the Closing LIEN NAV, rounded to the nearest four decimal places. As reflected in the illustrative calculations below, Closing LIEN NAV is calculated based on LIEN’s calculations of its NAV per share as of the Determination Date, and Closing REFI NAV is calculated based on REFI’s statement of its adjusted book value per share as of the Determination Date, in each case prepared in accordance with the valuation principles, assumptions and methodologies, and giving effect to the categories of adjustments, set forth in Exhibit A of the Merger Agreement, including to record the applicable investment portfolio at fair value in accordance with Financial Accounting Standards Board’s Accounting Standards Codification (“ASC”) 820 and ASC 946, and an upward adjustment of $2,000,000 to Closing REFI NAV reflecting REFI Manager’s contribution toward transaction expenses. </w:t>
      </w:r>
    </w:p>
    <w:p>
      <w:pPr>
        <w:pStyle w:val="TextBody"/>
        <w:bidi w:val="0"/>
        <w:spacing w:before="41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Illustrative Exchange Ratio Calculations* </w:t>
      </w:r>
    </w:p>
    <w:tbl>
      <w:tblPr>
        <w:tblW w:w="9965" w:type="dxa"/>
        <w:jc w:val="left"/>
        <w:tblInd w:w="240" w:type="dxa"/>
        <w:tblLayout w:type="fixed"/>
        <w:tblCellMar>
          <w:top w:w="0" w:type="dxa"/>
          <w:left w:w="0" w:type="dxa"/>
          <w:bottom w:w="0" w:type="dxa"/>
          <w:right w:w="0" w:type="dxa"/>
        </w:tblCellMar>
      </w:tblPr>
      <w:tblGrid>
        <w:gridCol w:w="1687"/>
        <w:gridCol w:w="140"/>
        <w:gridCol w:w="140"/>
        <w:gridCol w:w="2474"/>
        <w:gridCol w:w="140"/>
        <w:gridCol w:w="140"/>
        <w:gridCol w:w="2474"/>
        <w:gridCol w:w="140"/>
        <w:gridCol w:w="140"/>
        <w:gridCol w:w="2490"/>
      </w:tblGrid>
      <w:tr>
        <w:trPr/>
        <w:tc>
          <w:tcPr>
            <w:tcW w:w="16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0" w:type="dxa"/>
            <w:tcBorders/>
            <w:vAlign w:val="center"/>
          </w:tcPr>
          <w:p>
            <w:pPr>
              <w:pStyle w:val="TableContents"/>
              <w:bidi w:val="0"/>
              <w:spacing w:before="0" w:after="0"/>
              <w:jc w:val="left"/>
              <w:rPr/>
            </w:pPr>
            <w:r>
              <w:rPr/>
              <w:t> </w:t>
            </w:r>
          </w:p>
        </w:tc>
      </w:tr>
      <w:tr>
        <w:trPr/>
        <w:tc>
          <w:tcPr>
            <w:tcW w:w="16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Example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Example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Example C </w:t>
            </w:r>
          </w:p>
        </w:tc>
      </w:tr>
      <w:tr>
        <w:trPr/>
        <w:tc>
          <w:tcPr>
            <w:tcW w:w="1687"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Closing LIEN NAV(1)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74"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74"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$13.30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90"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$13.27 </w:t>
            </w:r>
          </w:p>
        </w:tc>
      </w:tr>
      <w:tr>
        <w:trPr/>
        <w:tc>
          <w:tcPr>
            <w:tcW w:w="1687"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Closing REFI NAV(2)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0"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$14.71 </w:t>
            </w:r>
          </w:p>
        </w:tc>
      </w:tr>
      <w:tr>
        <w:trPr/>
        <w:tc>
          <w:tcPr>
            <w:tcW w:w="16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Exchange Ratio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74"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$14.39 / $13.33 = 1.0795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74"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$14.60 / $13.30 = 1.0977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90" w:type="dxa"/>
            <w:tcBorders/>
            <w:shd w:fill="CCEEFF" w:val="cle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$14.71 / $13.27 = 1.1085 </w:t>
            </w:r>
          </w:p>
        </w:tc>
      </w:tr>
      <w:tr>
        <w:trPr/>
        <w:tc>
          <w:tcPr>
            <w:tcW w:w="16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Each REFI Shareholder would</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receive 1.0795 shares of LIEN</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Common Stock per share of REFI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Each REFI Shareholder would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receive 1.0977 shares of LIEN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Common Stock per share of REFI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0"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Each REFI Shareholder would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receive 1.1085 shares of LIEN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Common Stock per share of REFI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Common Stock</w:t>
            </w:r>
          </w:p>
        </w:tc>
      </w:tr>
      <w:tr>
        <w:trPr/>
        <w:tc>
          <w:tcPr>
            <w:tcW w:w="16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0" w:type="dxa"/>
            <w:tcBorders/>
            <w:vAlign w:val="center"/>
          </w:tcPr>
          <w:p>
            <w:pPr>
              <w:pStyle w:val="TableContents"/>
              <w:bidi w:val="0"/>
              <w:spacing w:before="0" w:after="0"/>
              <w:jc w:val="left"/>
              <w:rPr/>
            </w:pPr>
            <w:r>
              <w:rPr/>
              <w:t> </w:t>
            </w:r>
          </w:p>
        </w:tc>
      </w:tr>
    </w:tbl>
    <w:p>
      <w:pPr>
        <w:pStyle w:val="TextBody"/>
        <w:bidi w:val="0"/>
        <w:spacing w:before="90" w:after="240"/>
        <w:ind w:left="240" w:right="0" w:hanging="0"/>
        <w:jc w:val="left"/>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w:t>
      </w:r>
    </w:p>
    <w:p>
      <w:pPr>
        <w:pStyle w:val="TextBody"/>
        <w:bidi w:val="0"/>
        <w:spacing w:before="0" w:after="240"/>
        <w:ind w:left="640" w:right="0" w:hanging="0"/>
        <w:jc w:val="both"/>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 xml:space="preserve">This disclosure is merely illustrative and is not intended to represent any specific scenario under which the Exchange Ratio will be calculated. </w:t>
      </w:r>
    </w:p>
    <w:tbl>
      <w:tblPr>
        <w:tblW w:w="9965" w:type="dxa"/>
        <w:jc w:val="left"/>
        <w:tblInd w:w="240" w:type="dxa"/>
        <w:tblLayout w:type="fixed"/>
        <w:tblCellMar>
          <w:top w:w="0" w:type="dxa"/>
          <w:left w:w="0" w:type="dxa"/>
          <w:bottom w:w="0" w:type="dxa"/>
          <w:right w:w="0" w:type="dxa"/>
        </w:tblCellMar>
      </w:tblPr>
      <w:tblGrid>
        <w:gridCol w:w="207"/>
        <w:gridCol w:w="975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5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Closing LIEN NAV in each of Example A, Example B and Example C is based on the NAV per share of LIEN Common Stock as of March 31, 2026, December 31, 2025 and September 30, 2025, respectively. </w:t>
            </w:r>
          </w:p>
        </w:tc>
      </w:tr>
    </w:tbl>
    <w:tbl>
      <w:tblPr>
        <w:tblW w:w="9965" w:type="dxa"/>
        <w:jc w:val="left"/>
        <w:tblInd w:w="240" w:type="dxa"/>
        <w:tblLayout w:type="fixed"/>
        <w:tblCellMar>
          <w:top w:w="0" w:type="dxa"/>
          <w:left w:w="0" w:type="dxa"/>
          <w:bottom w:w="0" w:type="dxa"/>
          <w:right w:w="0" w:type="dxa"/>
        </w:tblCellMar>
      </w:tblPr>
      <w:tblGrid>
        <w:gridCol w:w="209"/>
        <w:gridCol w:w="975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Closing REFI NAV in each of Example A, Example B and Example C is based on the book value per share of REFI Common Stock, as of March 31, 2026, December 31, 2025 and September 30, 2025. </w:t>
            </w:r>
          </w:p>
        </w:tc>
      </w:tr>
    </w:tbl>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Dividends and Distributions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the BDC Election Time, REFI will declare and pay one or more Tax Dividends in an aggregate amount sufficient to (i) eliminate all of REFI’s accumulated earnings and profits for U.S. federal income tax purposes, including any earnings and profits (A) attributable to any taxable year in which REFI was treated as a C corporation (and not as a REIT) for U.S. federal income tax purposes, (B) accumulated during any taxable year in which REFI qualified as a REIT to the extent not previously distributed, and (C) attributable to REFI’s taxable year ending as a result of the Merger (including any income recognized through the Merger Effective Time), and (ii) reduce REFI’s real estate investment trust taxable income and net capital gain (if any) to zero for REFI’s taxable year ending as a result of the Merger (taking into account the dividends paid deduction as defined in Section 561 of the Code arising from such Tax Dividends). Prior to the BDC Election Time, REFI shall engage an independent accounting firm to prepare a computation of accumulated earnings and profits confirming the amount of Tax Dividends that needs to be distributed to satisfy the foregoing requirements.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Merger Effective Time, the record holders of shares of REFI Common Stock at the Merger Effective Time shall be entitled to receive, without interest, (i) the amount of dividends or other distributions with a record date after the Merger Effective Time theretofore payable with respect to the whole shares of LIEN Common Stock represented by such shares of REFI Common Stock and not paid and/or (ii) at the appropriate payment date, the amount of dividends or other distributions payable with respect to the whole shares of LIEN Common Stock represented by such shares of REFI Common Stock with a record date after the Merger Effective Time (but before the issuance of LIEN Common Stock issuable with respect to such shares of REFI Common Stock) and with a payment date subsequent to the issuance of the LIEN Common Stock issuable with respect to such shares of REFI Common Stock.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7966x1_n14_108-summary_pg1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Market Price of Securities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LIEN Common Stock trade on the NASDAQ under the symbol “LIEN.” Shares of REFI Common Stock trade on the NASDAQ under the symbol “REFI.” The following table presents the closing sales prices on June 16, 2026, the last trading day before the execution of the Merger Agreement and on [  ], 2026, the last trading day before the date of this document and the most recently determined NAV per share of LIEN Common Stock and the most recently determined book value per share of REFI Common Stock. </w:t>
      </w:r>
    </w:p>
    <w:tbl>
      <w:tblPr>
        <w:tblW w:w="5825" w:type="dxa"/>
        <w:jc w:val="left"/>
        <w:tblInd w:w="240" w:type="dxa"/>
        <w:tblLayout w:type="fixed"/>
        <w:tblCellMar>
          <w:top w:w="0" w:type="dxa"/>
          <w:left w:w="0" w:type="dxa"/>
          <w:bottom w:w="0" w:type="dxa"/>
          <w:right w:w="0" w:type="dxa"/>
        </w:tblCellMar>
      </w:tblPr>
      <w:tblGrid>
        <w:gridCol w:w="3890"/>
        <w:gridCol w:w="140"/>
        <w:gridCol w:w="140"/>
        <w:gridCol w:w="680"/>
        <w:gridCol w:w="140"/>
        <w:gridCol w:w="140"/>
        <w:gridCol w:w="695"/>
      </w:tblGrid>
      <w:tr>
        <w:trPr/>
        <w:tc>
          <w:tcPr>
            <w:tcW w:w="3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NAV / Book Value per Share at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$14.39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June 16,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11.18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NASDAQ Sales Price on [ ],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w:t>
            </w:r>
          </w:p>
        </w:tc>
      </w:tr>
      <w:tr>
        <w:trPr/>
        <w:tc>
          <w:tcPr>
            <w:tcW w:w="3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of Risk Factors Relating to the Merger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other transactions contemplated by the Merger Agreement are subject to, among others, the following risks. LIEN and REFI Shareholders should carefully consider these risks before deciding how to vote on the proposals to be voted on at their respective special meetings. The Merger is subject to closing conditions, including shareholder approvals, that, if not satisfied or waived, will result in the Merger not being completed, which may result in material adverse consequences to LIEN’s and REFI’s business and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Proposal at the REFI Special Meeting and the Merger Agreement proposal at the LIEN Special Meeting are each subject to a “majority-of-the-minority-shares-voted” voting requirement, which means that the Merger Proposal cannot be approved without the affirmative vote of a majority of the shares held by REFI Unaffiliated Shareholders who vote on the Merger Proposal, and the Merger Agreement cannot be approved without the affirmative vote of a majority of the shares held by LIEN Unaffiliated Shareholders who vote on the Merger Agreement. As a result, the failure to obtain the required minority vote on either proposal will result in the Merger not being completed, notwithstanding any Support Agreement or affirmative vote of affiliated shareholders.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requires REFI to elect to be regulated as a BDC under the 1940 Act prior to the Merger Effective Time, and the failure of the SEC to accept REFI’s Form N-54A filing on the anticipated schedule, or the failure of the REFI Board to adopt the Post-BDC Election Approvals within the timeframe contemplated by the two-session meeting mechanic, could delay or prevent the completion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is conditioned on the assumption or repayment of REFI’s outstanding indebtedness, and consent from the lenders under the REFI Unsecured Notes had not been obtained as of the date of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may trigger certain “change of control” provisions and other restrictions in contracts of LIEN, REFI or their respective affiliates, and the failure to obtain any required consents or waivers could adversely impact the combined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and REFI may, to the extent legally allowed, waive one or more conditions to the Merger without resoliciting shareholder approval. </w:t>
            </w:r>
          </w:p>
        </w:tc>
      </w:tr>
    </w:tbl>
    <w:tbl>
      <w:tblPr>
        <w:tblW w:w="7915" w:type="dxa"/>
        <w:jc w:val="left"/>
        <w:tblInd w:w="24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limits the ability of LIEN and REFI to pursue alternatives to the Merger. </w:t>
            </w:r>
          </w:p>
        </w:tc>
      </w:tr>
    </w:tbl>
    <w:tbl>
      <w:tblPr>
        <w:tblW w:w="6910" w:type="dxa"/>
        <w:jc w:val="left"/>
        <w:tblInd w:w="24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termination of the Merger Agreement could negatively impact LIEN and REFI. </w:t>
            </w:r>
          </w:p>
        </w:tc>
      </w:tr>
    </w:tbl>
    <w:tbl>
      <w:tblPr>
        <w:tblW w:w="9460" w:type="dxa"/>
        <w:jc w:val="left"/>
        <w:tblInd w:w="24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does not close, neither LIEN nor REFI will benefit from the expenses relative to the proposed Merger. </w:t>
            </w:r>
          </w:p>
        </w:tc>
      </w:tr>
    </w:tbl>
    <w:tbl>
      <w:tblPr>
        <w:tblW w:w="9550" w:type="dxa"/>
        <w:jc w:val="left"/>
        <w:tblInd w:w="24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and REFI will be subject to operational uncertainties and contractual restrictions while the Merger is pending.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Merger could adversely affect the business, financial results and operations of LIEN and REFI.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7966x1_n14_108-summary_pg12"/>
        <w:bookmarkEnd w:id="4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litigation filed against LIEN and REFI in connection with the Merger could result in substantial costs and could delay or prevent the Merger from being completed.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Because the trading price of LIEN Common Stock will fluctuate, REFI Shareholders cannot be sure of the market value of the Merger Consideration they will receive until the Closing Date.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Koach Transaction on July 9, 2026 increased the outstanding shares of REFI Common Stock by approximately 16.8%, and the actual impact of the Koach Transaction on the Closing REFI NAV per share, and therefore on the Exchange Ratio, will not be determinable until the Determination Date and may differ from the expectations described in this joint proxy statement/prospectus. In addition, the shares of REFI Common Stock issued to the Koach investors will become freely transferable following expiration of the applicable lock-up periods, which may create market overhang and adversely affect the market price of LIEN Common Stock following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Sales of shares of LIEN Common Stock after the completion of the Merger may cause the market price of LIEN Common Stock to decline.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and LIEN Shareholders will experience a reduction in percentage ownership and voting power in the combined company as a result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LIEN Common Stock after the Merger may be affected by factors different from those affecting LIEN Common Stock currently.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opinion delivered to the LIEN Special Committee and the opinion delivered to the REFI Special Committee and the REFI Board by the respective financial advisors to the LIEN Special Committee and the REFI Special Committee prior to the signing of the Merger Agreement do not reflect changes in circumstances since the date of such opinions. </w:t>
            </w:r>
          </w:p>
        </w:tc>
      </w:tr>
    </w:tbl>
    <w:tbl>
      <w:tblPr>
        <w:tblW w:w="8455" w:type="dxa"/>
        <w:jc w:val="left"/>
        <w:tblInd w:w="24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 Shareholders and REFI Shareholders do not have appraisal rights in connection with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may be unable to realize the benefits anticipated by the Merger, including estimated cost savings, or it may take longer than anticipated to achieve such benefits.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BDC Election Time and the Merger, the combined company will be subject to the regulatory framework of the 1940 Act applicable to BDCs, including the affiliate-transaction prohibitions of Section 17(a), the affiliate-transaction restrictions of Section 57, the leverage limits of Section 61 and other requirements applicable to BDCs, which differ materially from the framework applicable to REFI as a REIT and may restrict the operation of the combined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be subject to a BDC fee structure that has historically been higher in the aggregate than REFI’s REIT fee structure. </w:t>
            </w:r>
          </w:p>
        </w:tc>
      </w:tr>
    </w:tbl>
    <w:tbl>
      <w:tblPr>
        <w:tblW w:w="7675" w:type="dxa"/>
        <w:jc w:val="left"/>
        <w:tblInd w:w="24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may not be treated as a tax-free reorganization under Section 368(a) of the Code.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incur adverse tax consequences if either LIEN or REFI has failed or fails to qualify for taxation as a RIC or a REIT, respectively, for U.S. federal income tax purposes.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the section entitled “</w:t>
      </w:r>
      <w:r>
        <w:rPr>
          <w:rFonts w:ascii="Times New Roman;Times;serif" w:hAnsi="Times New Roman;Times;serif"/>
          <w:i/>
          <w:color w:val="000000"/>
          <w:sz w:val="20"/>
          <w:bdr w:val="single" w:sz="8" w:space="12" w:color="000000"/>
        </w:rPr>
        <w:t>Risk Factors — Risks Relating to the Merger</w:t>
      </w:r>
      <w:r>
        <w:rPr>
          <w:rFonts w:ascii="Times New Roman;Times;serif" w:hAnsi="Times New Roman;Times;serif"/>
          <w:color w:val="000000"/>
          <w:sz w:val="20"/>
          <w:bdr w:val="single" w:sz="8" w:space="12" w:color="000000"/>
        </w:rPr>
        <w:t xml:space="preserve">” below for a more detailed discussion of these factors.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Tax Consequences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is intended to qualify as a “reorganization,” within the meaning of Section 368(a) of the Code, and it is a condition to LIEN’s and REFI’s respective obligations to complete the Merger that each of them receives a legal opinion to that effect. Accordingly, the Merger is not expected to be a taxable event for either LIEN Shareholders or REFI Shareholders for U.S. federal income tax purposes as to the shares of LIEN Common Stock that REFI Shareholders receive in the Merger, except for any gain or loss that may result from the receipt of cash in lieu of fractional shares of LIEN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REFI Shareholders should read the section entitled “</w:t>
      </w:r>
      <w:r>
        <w:rPr>
          <w:rFonts w:ascii="Times New Roman;Times;serif" w:hAnsi="Times New Roman;Times;serif"/>
          <w:i/>
          <w:color w:val="000000"/>
          <w:sz w:val="20"/>
          <w:bdr w:val="single" w:sz="8" w:space="12" w:color="000000"/>
        </w:rPr>
        <w:t>Material U.S. Federal Income Tax Considerations</w:t>
      </w:r>
      <w:r>
        <w:rPr>
          <w:rFonts w:ascii="Times New Roman;Times;serif" w:hAnsi="Times New Roman;Times;serif"/>
          <w:color w:val="000000"/>
          <w:sz w:val="20"/>
          <w:bdr w:val="single" w:sz="8" w:space="12" w:color="000000"/>
        </w:rPr>
        <w:t xml:space="preserve">” for a more complete discussion of the U.S. federal income tax consequences of the Merger. Tax matters can be complicated and the tax consequences of the Merger to REFI Shareholders will depend on their particular tax situation. Holders of REFI Common Stock should consult with their own tax advisors to understand the tax consequences of the Merger to them.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7966x1_n14_108-summary_pg13"/>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Special Meeting of LIEN Shareholders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LIEN plans to hold the LIEN Special Meeting to be held virtually on [ ], 2026 at [ ], Eastern Time, at the following website: www.[ ].com. At the LIEN Special Meeting, holders of LIEN Common Stock will be asked to approve the LIEN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LIEN Shareholder can vote at the LIEN Special Meeting if such shareholder owned shares of LIEN Common Stock at the close of business on the LIEN Record Date. As of that date, there were approximately [ ] shares of LIEN Common Stock outstanding and entitled to vote, approximately [    ] of which, or [ ]%, were owned beneficially or of record as of such date by directors and executive officers of LIEN.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Special Meeting of REFI Shareholders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 plans to hold the REFI Special Meeting to be held virtually on [ ], 2026 at [ ], Eastern Time, at the following website: www.[ ].com. At the REFI Special Meeting, holders of REFI Common Stock will be asked to approve the REFI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REFI Shareholder can vote at the REFI Special Meeting if such shareholder owned shares of REFI Common Stock at the close of business on the REFI Record Date. As of that date, there were approximately [ ] shares of REFI Common Stock outstanding and entitled to vote. Approximately [    ] of such total outstanding shares, or [ ]%, were owned beneficially or of record as of such date by directors and executive officers of REFI.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LIEN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LIEN Board, upon recommendation of the LIEN Special Committee, comprised solely of the LIEN Independent Directors, has unanimously approved the Merger Stock Issuance Proposal and Merger Agreement, including the Merger and the related transactions. After careful consideration, on the recommendation of the LIEN Special Committee, the LIEN Board recommends that LIEN Shareholders vote “FOR” each of the LIEN Proposals (the “LIEN Board Recommendation”).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REFI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REFI Board, upon recommendation of the REFI Special Committee, comprised solely of the REFI Independent Directors, has unanimously approved the BDC Election Proposal, the New BDC Advisory Agreement Proposal and the Merger Proposal. After careful consideration, on the recommendation of the REFI Special Committee, the REFI Board recommends that REFI Shareholders vote “FOR” each of the REFI Proposals (the “REFI Board Recommendation”).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Vote Required—LIEN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share of LIEN Common Stock held by a holder of record as of the LIEN Record Date has one vote on each matter considered at the LIEN Special Meeting. A quorum for the LIEN Special Meeting requires the presence, in person or by proxy, of the holders of shares of LIEN Common Stock entitled to cast a majority of the votes entitled to be cast at the meeting. Because the LIEN Proposals are non-routine matters, no broker non-votes are expected. See “</w:t>
      </w:r>
      <w:r>
        <w:rPr>
          <w:rFonts w:ascii="Times New Roman;Times;serif" w:hAnsi="Times New Roman;Times;serif"/>
          <w:i/>
          <w:color w:val="000000"/>
          <w:sz w:val="20"/>
          <w:bdr w:val="single" w:sz="8" w:space="12" w:color="000000"/>
        </w:rPr>
        <w:t>The LIEN Special Meeting — Vote Required</w:t>
      </w:r>
      <w:r>
        <w:rPr>
          <w:rFonts w:ascii="Times New Roman;Times;serif" w:hAnsi="Times New Roman;Times;serif"/>
          <w:color w:val="000000"/>
          <w:sz w:val="20"/>
          <w:bdr w:val="single" w:sz="8" w:space="12" w:color="000000"/>
        </w:rPr>
        <w:t xml:space="preserve">.” </w:t>
      </w:r>
    </w:p>
    <w:p>
      <w:pPr>
        <w:pStyle w:val="TextBody"/>
        <w:bidi w:val="0"/>
        <w:spacing w:before="28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Merger Stock Issuance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Merger Stock Issuance Proposal requires the affirmative vote of a majority of the votes cast by LIEN Shareholders at the LIEN Special Meeting (meaning that the number of shares voted “for” the proposal must exceed the number of shares voted “against” such proposal). Abstentions will not be included in determining the number of votes cast and, as a result, will have no effect on this proposal. The Merger Stock Issuance Proposal is a non-routine matter, so no broker non-votes are expected. </w:t>
      </w:r>
    </w:p>
    <w:p>
      <w:pPr>
        <w:pStyle w:val="TextBody"/>
        <w:bidi w:val="0"/>
        <w:spacing w:before="28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Merger Agreement, including the Merger and related transactions, requires the affirmative vote of (A) at least a majority of the outstanding shares of LIEN Common Stock entitled to be cast at the LIEN Special Meeting and (B) at least a majority of the shares of LIEN Common Stock voted at the LIEN Special Meeting held by the LIEN Unaffiliated Shareholders. Abstentions will have the effect of a vote “against” this proposal insofar as approval requires the affirmative vote of at least a majority of the outstanding shares of LIEN Common Stock entitled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7966x1_n14_108-summary_pg14"/>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be cast at the LIEN Special Meeting. However, abstentions will not be counted as votes cast for purposes of the separate majority-of-the-minority-shares-voted requirement and, as a result, will have no effect on such voting requirement. The Merger Agreement, including the Merger and related transactions, is a non-routine matter, so no broker non-votes are expected.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Vote Required— REFI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share of REFI Common Stock held by a holder of record as of the REFI Record Date has one vote on each matter considered at the REFI Special Meeting. A quorum for the REFI Special Meeting requires the presence, in person or by proxy, of the holders of shares of REFI Common Stock entitled to cast a majority of the votes entitled to be cast at the meeting. Because the REFI Proposals are non-routine matters, no broker non-votes are expected. See “</w:t>
      </w:r>
      <w:r>
        <w:rPr>
          <w:rFonts w:ascii="Times New Roman;Times;serif" w:hAnsi="Times New Roman;Times;serif"/>
          <w:i/>
          <w:color w:val="000000"/>
          <w:sz w:val="20"/>
          <w:bdr w:val="single" w:sz="8" w:space="12" w:color="000000"/>
        </w:rPr>
        <w:t>The REFI Special Meeting — Vote Required.”</w:t>
      </w:r>
      <w:r>
        <w:rPr>
          <w:rFonts w:ascii="Times New Roman;Times;serif" w:hAnsi="Times New Roman;Times;serif"/>
          <w:color w:val="000000"/>
          <w:sz w:val="20"/>
          <w:bdr w:val="single" w:sz="8" w:space="12" w:color="000000"/>
        </w:rPr>
        <w:t xml:space="preserve"> </w:t>
      </w:r>
    </w:p>
    <w:p>
      <w:pPr>
        <w:pStyle w:val="TextBody"/>
        <w:bidi w:val="0"/>
        <w:spacing w:before="33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BDC Election Proposal and the New BDC Advisory Agreement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BDC Election Proposal and the New BDC Agreement Proposal each requires the affirmative vote of the lesser of (A) 67% of the shares of REFI Common Stock present at a meeting where more than 50% of the outstanding shares of REFI Common Stock are present or represented by proxy, or (B) more than 50% of the outstanding shares of REFI Common Stock. Abstentions will have the effect of a vote “against” these proposals. The BDC Election Proposal and the New BDC Advisory Agreement Proposal are non-routine matters, so no broker non-votes are expected. </w:t>
      </w:r>
    </w:p>
    <w:p>
      <w:pPr>
        <w:pStyle w:val="TextBody"/>
        <w:bidi w:val="0"/>
        <w:spacing w:before="340" w:after="240"/>
        <w:ind w:left="6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Merger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approval of the Merger Proposal requires the affirmative vote of (A) at least a majority of the outstanding shares of REFI Common Stock entitled to be cast at the REFI Special Meeting and (B) at least a majority of the shares of REFI Common Stock voted at the REFI Special Meeting held by the REFI Unaffiliated Shareholders. Abstentions will not count as affirmative votes cast and will therefore have the same effect as votes “against” the Merger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The Merger Proposal is a non-routine matter, so no broker non-votes are expected.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Completion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more fully described in this joint proxy statement/prospectus and in the Merger Agreement, the completion of the Merger depends on a number of conditions being satisfied or, where legally permissible, waived. For information on the conditions that must be satisfied or waived for the Merger to occur, see “</w:t>
      </w:r>
      <w:r>
        <w:rPr>
          <w:rFonts w:ascii="Times New Roman;Times;serif" w:hAnsi="Times New Roman;Times;serif"/>
          <w:i/>
          <w:color w:val="000000"/>
          <w:sz w:val="20"/>
          <w:bdr w:val="single" w:sz="8" w:space="12" w:color="000000"/>
        </w:rPr>
        <w:t>Description of the Merger — Conditions to Closing the Merger.</w:t>
      </w:r>
      <w:r>
        <w:rPr>
          <w:rFonts w:ascii="Times New Roman;Times;serif" w:hAnsi="Times New Roman;Times;serif"/>
          <w:color w:val="000000"/>
          <w:sz w:val="20"/>
          <w:bdr w:val="single" w:sz="8" w:space="12" w:color="000000"/>
        </w:rPr>
        <w:t xml:space="preserve">” While there can be no assurances as to the exact timing, or that the Merger will be completed at all, LIEN and REFI are working to complete the Merger in the fourth quarter of 2026. It is currently expected that the Merger will be completed promptly following receipt of the required shareholder approvals at the LIEN Special Meeting and the REFI Special Meeting and satisfaction of the other closing conditions set forth in the Merger Agreement.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Agreement includes restrictions on the ability of LIEN and REFI to solicit proposals for alternative transactions or engage in discussions regarding such proposals, subject to exceptions and termination provisions (as more fully described in the section entitled “</w:t>
      </w:r>
      <w:r>
        <w:rPr>
          <w:rFonts w:ascii="Times New Roman;Times;serif" w:hAnsi="Times New Roman;Times;serif"/>
          <w:i/>
          <w:color w:val="000000"/>
          <w:sz w:val="20"/>
          <w:bdr w:val="single" w:sz="8" w:space="12" w:color="000000"/>
        </w:rPr>
        <w:t>Description of the Merger — Termination of the Merger Agreement</w:t>
      </w:r>
      <w:r>
        <w:rPr>
          <w:rFonts w:ascii="Times New Roman;Times;serif" w:hAnsi="Times New Roman;Times;serif"/>
          <w:color w:val="000000"/>
          <w:sz w:val="20"/>
          <w:bdr w:val="single" w:sz="8" w:space="12" w:color="000000"/>
        </w:rPr>
        <w:t xml:space="preserve">”), which could have the effect of discouraging such proposals from being made or pursued. In addition, the Merger Agreement also contains certain termination rights in favor of LIEN and REFI, including if the requisite approvals of LIEN Shareholders or REFI Shareholders are not obtained.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Reasons for the Merger — LIEN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LIEN Board and the LIEN Special Committee consulted with LIEN’s management, LIEN Adviser, as well as its legal and other advisors and considered numerous factors, including the unanimous recommendation of the LIEN Special Committee, and determined that the Merger is in LIEN’s best interests and the best interests of LIEN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7966x1_n14_108-summary_pg15"/>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Shareholders, and that LIEN Shareholders will not suffer any dilution for purposes of Rule 17a-8 under the 1940 Act as a result of the Merger. The LIEN Special Committee and the LIEN Board considered that the Exchange Ratio provides that the number of shares of LIEN Common Stock to be issued to REFI Shareholders pursuant to the Merger Agreement will be determined on a NAV-for-NAV basis.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material factors considered by the LIEN Board and the LIEN Special Committee (comprised solely of the LIEN Independent Directors) that favored the conclusion of the LIEN Board and the LIEN Special Committee that the Merger is in LIEN’s best interests and the best interests of LIEN Shareholders included, among others: </w:t>
      </w:r>
    </w:p>
    <w:tbl>
      <w:tblPr>
        <w:tblW w:w="6265" w:type="dxa"/>
        <w:jc w:val="left"/>
        <w:tblInd w:w="24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increased scale and diversification of the combined company; </w:t>
            </w:r>
          </w:p>
        </w:tc>
      </w:tr>
    </w:tbl>
    <w:tbl>
      <w:tblPr>
        <w:tblW w:w="6820" w:type="dxa"/>
        <w:jc w:val="left"/>
        <w:tblInd w:w="24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improved secondary market liquidity for the combined company; </w:t>
            </w:r>
          </w:p>
        </w:tc>
      </w:tr>
    </w:tbl>
    <w:tbl>
      <w:tblPr>
        <w:tblW w:w="4840" w:type="dxa"/>
        <w:jc w:val="left"/>
        <w:tblInd w:w="24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acquisition of a known, diversified portfolio of assets;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well-balanced capital structure of the combined company and potential for increased access to larger, lower-cost and more diversified debt capital; </w:t>
            </w:r>
          </w:p>
        </w:tc>
      </w:tr>
    </w:tbl>
    <w:tbl>
      <w:tblPr>
        <w:tblW w:w="7825" w:type="dxa"/>
        <w:jc w:val="left"/>
        <w:tblInd w:w="24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operational synergies via the elimination of redundant expenses post-closing; </w:t>
            </w:r>
          </w:p>
        </w:tc>
      </w:tr>
    </w:tbl>
    <w:tbl>
      <w:tblPr>
        <w:tblW w:w="8485" w:type="dxa"/>
        <w:jc w:val="left"/>
        <w:tblInd w:w="24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 would be accretive to LIEN’s net investment income (“NII”) over time; </w:t>
            </w:r>
          </w:p>
        </w:tc>
      </w:tr>
    </w:tbl>
    <w:tbl>
      <w:tblPr>
        <w:tblW w:w="5665" w:type="dxa"/>
        <w:jc w:val="left"/>
        <w:tblInd w:w="240" w:type="dxa"/>
        <w:tblLayout w:type="fixed"/>
        <w:tblCellMar>
          <w:top w:w="0" w:type="dxa"/>
          <w:left w:w="0" w:type="dxa"/>
          <w:bottom w:w="0" w:type="dxa"/>
          <w:right w:w="0" w:type="dxa"/>
        </w:tblCellMar>
      </w:tblPr>
      <w:tblGrid>
        <w:gridCol w:w="110"/>
        <w:gridCol w:w="5555"/>
      </w:tblGrid>
      <w:tr>
        <w:trPr/>
        <w:tc>
          <w:tcPr>
            <w:tcW w:w="11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similarities in the investment strategies and risks of LIEN and REFI; </w:t>
            </w:r>
          </w:p>
        </w:tc>
      </w:tr>
    </w:tbl>
    <w:tbl>
      <w:tblPr>
        <w:tblW w:w="3100" w:type="dxa"/>
        <w:jc w:val="left"/>
        <w:tblInd w:w="24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Merger; </w:t>
            </w:r>
          </w:p>
        </w:tc>
      </w:tr>
    </w:tbl>
    <w:tbl>
      <w:tblPr>
        <w:tblW w:w="8710" w:type="dxa"/>
        <w:jc w:val="left"/>
        <w:tblInd w:w="24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dilution to LIEN Shareholders as a result of the Merger for purposes of Rule 17a-8 under the 1940 Act; </w:t>
            </w:r>
          </w:p>
        </w:tc>
      </w:tr>
    </w:tbl>
    <w:tbl>
      <w:tblPr>
        <w:tblW w:w="6565" w:type="dxa"/>
        <w:jc w:val="left"/>
        <w:tblInd w:w="24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benefits of the Merger as compared to other strategic options;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KBW, dated June 16, 2026, to the LIEN Special Committee as to the fairness, from a financial point of view and as of the date of the opinion, of the Exchange Ratio in the Merger, as more fully described below in the section entitled “</w:t>
            </w:r>
            <w:r>
              <w:rPr>
                <w:rFonts w:ascii="Times New Roman;Times;serif" w:hAnsi="Times New Roman;Times;serif"/>
                <w:i/>
                <w:color w:val="000000"/>
                <w:sz w:val="20"/>
              </w:rPr>
              <w:t>Opinion of the LIEN Special Committee’s Financial Advisor.</w:t>
            </w:r>
            <w:r>
              <w:rPr>
                <w:rFonts w:ascii="Times New Roman;Times;serif" w:hAnsi="Times New Roman;Times;serif"/>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foregoing list does not include all the factors that the LIEN Board and the LIEN Special Committee considered in approving the proposed Merger and the Merger Agreement and in recommending that LIEN Shareholders approve the issuance of shares of LIEN Common Stock necessary to effectuate the Merger. For a further discussion of the material factors considered by the LIEN Board, see “</w:t>
      </w:r>
      <w:r>
        <w:rPr>
          <w:rFonts w:ascii="Times New Roman;Times;serif" w:hAnsi="Times New Roman;Times;serif"/>
          <w:i/>
          <w:color w:val="000000"/>
          <w:sz w:val="20"/>
          <w:bdr w:val="single" w:sz="8" w:space="12" w:color="000000"/>
        </w:rPr>
        <w:t>The Merger — Reasons for the Merger — LIEN.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Reasons for the Merger — REFI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REFI Board and the REFI Special Committee consulted with REFI’s management, REFI Manager, as well as its legal and other advisors and considered numerous factors, including the unanimous recommendation of the REFI Independent Directors, and determined that the Merger is fair to and in the best interests of REFI and REFI Shareholders, and that REFI Shareholders will not suffer any dilution for purposes of Rule 17a-8 under the 1940 Act as a result of the Merger. The REFI Special Committee and the REFI Board considered that the Exchange Ratio provides that the number of shares of LIEN Common Stock to be issued to REFI Shareholders pursuant to the Merger Agreement will be determined on a NAV-for-NAV basis.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material factors considered by the REFI Board and the REFI Special Committee (comprised solely of the REFI Independent Directors) that favored the conclusion of the REFI Board and the REFI Special Committee that the Merger is fair to and in the best interests of REFI and REFI Shareholders included, among others: </w:t>
      </w:r>
    </w:p>
    <w:tbl>
      <w:tblPr>
        <w:tblW w:w="6460" w:type="dxa"/>
        <w:jc w:val="left"/>
        <w:tblInd w:w="24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strategic rationale and comparison to other alternatives available to REFI; </w:t>
            </w:r>
          </w:p>
        </w:tc>
      </w:tr>
    </w:tbl>
    <w:tbl>
      <w:tblPr>
        <w:tblW w:w="5635" w:type="dxa"/>
        <w:jc w:val="left"/>
        <w:tblInd w:w="24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scale, diversification and investment mandate expansion; </w:t>
            </w:r>
          </w:p>
        </w:tc>
      </w:tr>
    </w:tbl>
    <w:tbl>
      <w:tblPr>
        <w:tblW w:w="4480" w:type="dxa"/>
        <w:jc w:val="left"/>
        <w:tblInd w:w="24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access to capital and capital structure considerations; </w:t>
            </w:r>
          </w:p>
        </w:tc>
      </w:tr>
    </w:tbl>
    <w:tbl>
      <w:tblPr>
        <w:tblW w:w="3775" w:type="dxa"/>
        <w:jc w:val="left"/>
        <w:tblInd w:w="24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NAV, earnings and dividend considerations; </w:t>
            </w:r>
          </w:p>
        </w:tc>
      </w:tr>
    </w:tbl>
    <w:tbl>
      <w:tblPr>
        <w:tblW w:w="8695" w:type="dxa"/>
        <w:jc w:val="left"/>
        <w:tblInd w:w="240" w:type="dxa"/>
        <w:tblLayout w:type="fixed"/>
        <w:tblCellMar>
          <w:top w:w="0" w:type="dxa"/>
          <w:left w:w="0" w:type="dxa"/>
          <w:bottom w:w="0" w:type="dxa"/>
          <w:right w:w="0" w:type="dxa"/>
        </w:tblCellMar>
      </w:tblPr>
      <w:tblGrid>
        <w:gridCol w:w="110"/>
        <w:gridCol w:w="8585"/>
      </w:tblGrid>
      <w:tr>
        <w:trPr/>
        <w:tc>
          <w:tcPr>
            <w:tcW w:w="11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dilution to REFI Shareholders as a result of the Merger for purposes of Rule 17a-8 under the 1940 Act; </w:t>
            </w:r>
          </w:p>
        </w:tc>
      </w:tr>
    </w:tbl>
    <w:tbl>
      <w:tblPr>
        <w:tblW w:w="3370" w:type="dxa"/>
        <w:jc w:val="left"/>
        <w:tblInd w:w="240" w:type="dxa"/>
        <w:tblLayout w:type="fixed"/>
        <w:tblCellMar>
          <w:top w:w="0" w:type="dxa"/>
          <w:left w:w="0" w:type="dxa"/>
          <w:bottom w:w="0" w:type="dxa"/>
          <w:right w:w="0" w:type="dxa"/>
        </w:tblCellMar>
      </w:tblPr>
      <w:tblGrid>
        <w:gridCol w:w="110"/>
        <w:gridCol w:w="3260"/>
      </w:tblGrid>
      <w:tr>
        <w:trPr/>
        <w:tc>
          <w:tcPr>
            <w:tcW w:w="11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 savings and operating efficiencies; </w:t>
            </w:r>
          </w:p>
        </w:tc>
      </w:tr>
    </w:tbl>
    <w:tbl>
      <w:tblPr>
        <w:tblW w:w="5560" w:type="dxa"/>
        <w:jc w:val="left"/>
        <w:tblInd w:w="24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management fee considerations and REFI Manager’s contribution; </w:t>
            </w:r>
          </w:p>
        </w:tc>
      </w:tr>
    </w:tbl>
    <w:tbl>
      <w:tblPr>
        <w:tblW w:w="4120" w:type="dxa"/>
        <w:jc w:val="left"/>
        <w:tblInd w:w="24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 certainty and closing considerations;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7966x1_n14_108-summary_pg16"/>
        <w:bookmarkEnd w:id="52"/>
        <w:r>
          <w:rPr>
            <w:rStyle w:val="InternetLink"/>
            <w:rFonts w:ascii="Times New Roman;Times;Serif" w:hAnsi="Times New Roman;Times;Serif"/>
            <w:b/>
            <w:caps w:val="false"/>
            <w:smallCaps w:val="false"/>
            <w:color w:val="000000"/>
            <w:sz w:val="16"/>
          </w:rPr>
          <w:t>TABLE OF CONTENTS</w:t>
        </w:r>
      </w:hyperlink>
    </w:p>
    <w:tbl>
      <w:tblPr>
        <w:tblW w:w="4660" w:type="dxa"/>
        <w:jc w:val="left"/>
        <w:tblInd w:w="24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shareholder protections and deal protection provisions; </w:t>
            </w:r>
          </w:p>
        </w:tc>
      </w:tr>
    </w:tbl>
    <w:tbl>
      <w:tblPr>
        <w:tblW w:w="3100" w:type="dxa"/>
        <w:jc w:val="left"/>
        <w:tblInd w:w="24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Merger; </w:t>
            </w:r>
          </w:p>
        </w:tc>
      </w:tr>
    </w:tbl>
    <w:tbl>
      <w:tblPr>
        <w:tblW w:w="3190" w:type="dxa"/>
        <w:jc w:val="left"/>
        <w:tblInd w:w="24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REFI Special Committee process;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Oppenheimer, dated June 17, 2026, to the REFI Special Committee as to the fairness, from a financial point of view and as of the date of the opinion, of the Exchange Ratio provided for in the Merger, as more fully described below in the section entitled “</w:t>
            </w:r>
            <w:r>
              <w:rPr>
                <w:rFonts w:ascii="Times New Roman;Times;serif" w:hAnsi="Times New Roman;Times;serif"/>
                <w:i/>
                <w:color w:val="000000"/>
                <w:sz w:val="20"/>
              </w:rPr>
              <w:t>Opinion of the REFI Special Committee’s Financial Advisor</w:t>
            </w:r>
            <w:r>
              <w:rPr>
                <w:rFonts w:ascii="Times New Roman;Times;serif" w:hAnsi="Times New Roman;Times;serif"/>
                <w:color w:val="000000"/>
                <w:sz w:val="20"/>
              </w:rPr>
              <w:t xml:space="preserve">”; and </w:t>
            </w:r>
          </w:p>
        </w:tc>
      </w:tr>
    </w:tbl>
    <w:tbl>
      <w:tblPr>
        <w:tblW w:w="8050" w:type="dxa"/>
        <w:jc w:val="left"/>
        <w:tblInd w:w="24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information provided by Oppenheimer, as financial advisor to the REFI Special Committee.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foregoing list does not include all the factors that the REFI Board and the REFI Special Committee considered in approving the Merger and the Merger Agreement and in recommending that REFI Shareholders approve the BDC Election Matters and Merger Proposal. For a further discussion of the material factors considered by the REFI Board, see “</w:t>
      </w:r>
      <w:r>
        <w:rPr>
          <w:rFonts w:ascii="Times New Roman;Times;serif" w:hAnsi="Times New Roman;Times;serif"/>
          <w:i/>
          <w:color w:val="000000"/>
          <w:sz w:val="20"/>
          <w:bdr w:val="single" w:sz="8" w:space="12" w:color="000000"/>
        </w:rPr>
        <w:t>The Merger — Reasons for the Merger — REFI</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REFI and LIEN Shareholders Do Not Have Appraisal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Neither REFI Shareholders nor LIEN Shareholders will be entitled to exercise appraisal rights in connection with the Merger under the laws of the State of Maryland.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7966x1_n14_109-risk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RF"/>
      <w:bookmarkEnd w:id="54"/>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pPr>
      <w:r>
        <w:rPr>
          <w:rFonts w:ascii="Times New Roman;Times;serif" w:hAnsi="Times New Roman;Times;serif"/>
          <w:i/>
          <w:color w:val="000000"/>
          <w:sz w:val="20"/>
        </w:rPr>
        <w:t xml:space="preserve">In addition to the other information included in this document, shareholders should carefully consider the matters described below in determining whether to approve (i) in the case of REFI Shareholders, the REFI Proposals and (ii) in the case of LIEN Shareholders, the LIEN Proposals. The information in “Item 1A. Risk Factors” in Part I of LIEN’s Annual Report on </w:t>
      </w:r>
      <w:hyperlink r:id="rId2">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for general risks related to LIEN. The information in “Item 1A. Risk Factors” in Part I of REFI’s Annual Report on </w:t>
      </w:r>
      <w:hyperlink r:id="rId3">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for general risks related to REFI. The risks set out below and incorporated by reference herein, are not the only risks LIEN and REFI and, following the Merger, the combined company, face. Additional risks and uncertainties not currently known to LIEN or REFI or that they currently deem to be immaterial also may materially adversely affect their or, following the Merger, the combined company’s, business, financial condition or operating results. If any of the following events occur, LIEN or REFI or, following the Merger, the combined company’s, business, financial condition or results of operations could be materially adversely affected. See also “Incorporation by Reference for LIEN,” “Incorporation by Reference for REFI” and “Where You Can Find More Information” in this joint proxy statement/prospectus.</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LIEN Common Stock will fluctuate, REFI Shareholders cannot be sure of the market value of the Merger Consideration they will receive until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REFI Common Stock issued and outstanding immediately prior to such time (other than shares owned by LIEN or any of its consolidated subsidiaries) will be converted into the right to receive a number of shares of LIEN Common Stock equal to the Exchange Ratio, plus any cash (without interest)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value of the shares of LIEN Common Stock to be received by REFI Shareholders may vary from the closing price of LIEN Common Stock on the date the Merger was announced, on the date that this joint proxy statement/prospectus was mailed to shareholders, on the date of the REFI Special Meeting or the date of the LIEN Special Meeting and on the date the Merger is completed and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at the time of the REFI Special Meeting, REFI Shareholders will not know or be able to calculate the market price of the Merger Consideration they would receive upon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and liquidity of the market for LIEN Common Stock may be significantly affected by numerous factors, some of which are beyond LIEN’s control and may not be directly related to LIEN’s operating performance. These factors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significant volatility in the market price and trading volume of securities of BDCs or other companies in LIEN’s sector, which are not necessarily related to the operating performance of the companies;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regulatory policies, accounting pronouncements or tax guidelines, particularly with respect to RICs and BDCs;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of LIEN’s qualification as a RIC or BDC;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interest rates and decline in the price of debt;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earnings or variations in operating results;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value of LIEN’s portfolio investments;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accounting guidelines governing valuation of LIEN’s investments; </w:t>
            </w:r>
          </w:p>
        </w:tc>
      </w:tr>
    </w:tbl>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shortfall in revenue or net income or any increase in losses from levels expected by investors or securities analysts; </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departure of any of the key personnel of LIEN Adviser;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operating performance of companies comparable to LIEN;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economic trends and other external factors; and </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of a major funding source.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7966x1_n14_109-risk_pg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i/>
          <w:color w:val="000000"/>
          <w:sz w:val="20"/>
        </w:rPr>
        <w:t>Special Note Regarding Forward-Looking Statements</w:t>
      </w:r>
      <w:r>
        <w:rPr>
          <w:rFonts w:ascii="Times New Roman;Times;serif" w:hAnsi="Times New Roman;Times;serif"/>
          <w:color w:val="000000"/>
          <w:sz w:val="20"/>
        </w:rPr>
        <w:t xml:space="preserve">” for other factors that could cause the market price of LIEN Common Stock to 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last reported closing sales price of LIEN Common Stock as reported on the NASDAQ on December 31, 2025, the last trading day of the fiscal year ended December 31, 2025, was $10.33 and for the period from January 1, 2026 through [ ], 2026 from a low of $[ ] to a high of $[ ]. However, historical trading prices are not necessarily indicative of future performance. REFI Shareholders should obtain current market quotations for shares of LIEN Common Stock prior to the REFI Special Meeting.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Sales of shares of LIEN Common Stock after the completion of the Merger may cause the market price of LIEN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REFI Common Stock issued and outstanding immediately prior to such time (other than shares owned by LIEN or any of LIEN’s consolidated subsidiaries), will be converted into the right to receive a number of shares of LIEN Common Stock equal to the Exchange Ratio, plus any cash (without interest)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Former REFI Shareholders may decide not to hold the shares of LIEN Common Stock that they will receive pursuant to the Merger Agreement. Certain of REFI Shareholders, such as funds with limitations on their permitted holdings of stock in individual issuers, may be required to sell the shares of LIEN Common Stock that they receive pursuant to the Merger Agreement. In addition, LIEN Shareholders may decide not to hold their shares of LIEN Common Stock after completion of the Merger. In each case, such sales of LIEN Common Stock could have the effect of depressing the market price for LIEN Common Stock and may take place soon after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BDC Election Time, any vesting conditions applicable to each outstanding share of REFI Restricted Stock will, automatically and without any required action on the part of the holder thereof, accelerate in full and thereafter participate in the Merger along with the other shares of REFI Common Stock. Following the Merger Effective Time, holders of previously restricted shares may sell the shares of LIEN Common Stock that they receive in the Merger, subject to applicable securities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on July 9, 2026, REFI issued 4,306,754 shares of REFI Common Stock to Koach investors in the Koach Transaction, which will be converted into shares of LIEN Common Stock in the Merger. These shares are subject to lock-up letters restricting transfers for periods of three months (as to 20% of the shares) and six months (as to the remaining 80% of the shares) following the July 9, 2026 closing of the Koach Transaction. Following expiration of the applicable lock-up periods, the shares of LIEN Common Stock held by the Koach investors will become freely transferable, and the subsequent sale of these shares could create market overhang and adversely affect the market price of LIEN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REFI Shareholders and LIEN Shareholders will experience a reduction in percentage ownership and voting power in the combined company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will experience a substantial reduction in their respective percentage ownership interests and effective voting power in respect of the combined company relative to their respective percentage ownership interests in REFI prior to the Merger. Consequently, REFI Shareholders should expect to exercise less influence over the management and policies of the combined company following the Merger than they currently exercise over the management and policies of REFI. LIEN Shareholders will experience a substantial reduction in their respective percentage ownership interests and effective voting power in respect of the combined company relative to their respective ownership interests in LIEN prior to the Merger. Consequently, LIEN Shareholders should expect to exercise less influence over the management and policies of the combined company following the Merger than they currently exercise over the management and policies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completion of the Merger, subject to certain restrictions in the Merger Agreement, and certain restrictions under the 1940 Act for issuances at prices below the then current NAV per share of LIEN Common Stock, LIEN may issue additional shares of LIEN Common Stock, which would further reduce the percentage ownership of the combined company to be held by LIEN Shareholders or to be held by REFI Shareholders, as applicable.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conditions completion of the Merger on approval by unaffiliated shareholders of each of LIEN and REFI who vote at the relevant shareholder meetings, and the failure to obtain such approvals will result in the Merger not being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customary shareholder approvals required for the Merger, the Merger Agreement conditions completion of the Merger on approval of the Merger Agreement by at least a majority of the shares of LIEN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7966x1_n14_109-risk_pg3"/>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voted at the LIEN Special Meeting held by the LIEN Unaffiliated Shareholders (the “LIEN Minority Vote”), and on approval of the Merger Proposal by at least a majority of the shares of REFI Common Stock voted at the REFI Special Meeting held by the REFI Unaffiliated Shareholders (the “REFI Minority Vote,” and together with the LIEN Minority Vote, the “Minority Vote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Minority Vote Requirements are heightened voting standards that were added to the Merger Agreement in response to the affiliation between LIEN and REFI (which share a common investment adviser platform) and the potential conflicts of interest presented by the Merger. Because affiliated shares are excluded from both the numerator and the denominator of the Minority Vote Requirements, a relatively small number of unaffiliated shareholder votes can determine whether the Merger is approved. If the Minority Vote Requirements are not obtained on either side, the Merger cannot be completed, notwithstanding the Support Agreements or the affirmative vote of affiliated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Minority Vote Requirements also make the vote outcome more sensitive to shareholder participation. Broker non-votes and abstentions have the effect of votes against the Merger Agreement and the Merger Proposal because those proposals also require the affirmative vote of at least a majority of the outstanding shares of LIEN Common Stock or REFI Common Stock, as applicable. As a result, low shareholder turnout or high broker non-vote levels could result in failure of the Merger even if a substantial majority of unaffiliated shareholders who actually vote support the Merger. However, abstentions will not be counted as votes cast for purposes of the separate majority-of-the-minority-shares-voted requirement.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REFI Special Meeting will be conducted in two sessions, which are expected to occur on the same day, pursuant to the Sequencing Adjournment, and this meeting structure may be subject to challenge that could delay or prevent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is expected to be conducted in two sessions, which are expected to occur on the same day. At the initial session, REFI Shareholders will vote on the BDC Election Proposal, the New BDC Advisory Agreement Proposal and the REFI Adjournment Proposal. Following the vote on the BDC Election Proposal and the New BDC Advisory Agreement Proposal, the REFI Special Meeting will be adjourned pursuant to the REFI Adjournment Proposal for a Sequencing Adjournment for a short period of time, during which (i) REFI will file its Form N-54A with the SEC and, upon acceptance of such filing, the BDC Election Time will occur, and (ii) the REFI Board (acting on the recommendation of the REFI Special Committee) will consider and adopt the Post-BDC Election Approvals. The REFI Special Meeting will thereafter be reconvened, which is expected to occur on the same day, and REFI Shareholders will vote on the Merger Proposal at the reconvened session.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two-session meeting structure is designed to accommodate the sequencing required by the Merger Agreement and the 1940 Act. Specifically, REFI’s status must change from a REIT to a BDC (and the Post-BDC Election Approvals must be adopted) before REFI Shareholders vote on the Merger Proposal, because REFI Shareholders voting on the Merger Proposal at the reconvened session will be voting as shareholders of a BDC rather than a REIT.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two-session structure requires that a series of steps be completed within a limited timeframe, including SEC acceptance of the Form N-54A, the REFI Special Committee’s recommendation to the REFI Board, and the REFI Board’s adoption of the Post-BDC Election Approvals. Any delay in completing these steps could require an additional adjournment (which could implicate a new record date if not completed within 120 days of the original record date) and could delay or prevent the completion of the Merger.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Koach Transaction will affect the Closing REFI NAV per share and the Exchange Ratio, and the actual impact of the Koach Transaction may differ from the expectations described in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July 9, 2026, REFI consummated the Koach Transaction, in which REFI issued 4,306,754 shares of REFI Common Stock in exchange for second lien promissory notes issued by Koach in an aggregate principal amount of approximately $62.5 million. See “</w:t>
      </w:r>
      <w:r>
        <w:rPr>
          <w:rFonts w:ascii="Times New Roman;Times;serif" w:hAnsi="Times New Roman;Times;serif"/>
          <w:i/>
          <w:color w:val="000000"/>
          <w:sz w:val="20"/>
        </w:rPr>
        <w:t>Summary of the Merger — The Parties to the Merger — Chicago Atlantic Real Estate Finance, Inc.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Koach Transaction was consummated prior to the Determination Date, the additional shares of REFI Common Stock issued in the Koach Transaction and the Koach Notes acquired by REFI in the Koach Transaction will be reflected in the calculation of the Closing REFI NAV per share, and therefore in the Exchange Ratio. REFI expects the Koach Transaction to be neutral or slightly accretive to REFI’s adjusted book value per share as of the closing date of the Koach Transaction. However, the actual impact of the Koach Transaction on the Closing REFI NAV per share, and therefore on the Exchange Ratio, will not be determinable until the Determination Date and may differ from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7966x1_n14_109-risk_pg4"/>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expectations described in this joint proxy statement/prospectus. Factors that could cause the actual impact of the Koach Transaction to differ from these expectations include changes in the fair value of the Koach Notes between the closing date of the Koach Transaction and the Determination Date, credit or performance issues with respect to the Koach borrowers or the underlying collateral, and changes in the discount rates or other assumptions used in valuing the Koach Notes.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LIEN may be unable to realize the benefits anticipated by the Merger, including estimated cost savings, or it may take longer than anticipated to achieve such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realization of certain benefits anticipated as a result of the Merger will depend in part on the integration of REFI’s investment portfolio with LIEN’s investment portfolio and the integration of REFI’s business with LIEN’s business. There can be no assurance that REFI’s investment portfolio or business can be operated profitably or integrated successfully into LIEN’s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that there will not be other material adverse effects as a result of these integration efforts. Such effects, including incurring unexpected costs or delays in connection with such integration and failure of REFI’s investment portfolio to perform as expected, could have a material adverse effect on the financial results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also expects to achieve certain cost savings from the Merger when the two companies have fully integrated their portfolios. It is possible that the estimates of the potential cost savings could ultimately be incorrect. The cost savings estimates also assume LIEN will be able to combine the operations of LIEN and REFI in a manner that permits those cost savings to be fully realized. If the estimates turn out to be incorrect or if LIEN is not able to combine REFI’s investment portfolio or business with the operations of LIEN successfully, the anticipated cost savings may not be fully realized or realized at all or may take longer to realize than expected.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may trigger certain “change of control” provisions and other restrictions in contracts of LIEN, REFI or their affiliates and the failure to obtain any required consents or waivers could adversely impact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agreements of LIEN and REFI or their respective affiliates, which may include agreements governing indebtedness of LIEN or REFI, will or may require the consent or waiver of one or more counterparties in connection with the Merger. The failure to obtain any such consent or waiver may permit such counterparties to terminate, or otherwise increase their rights or LIEN’s or REFI’s obligations under, any such agreement because the Merger or other transactions contemplated by the Merger Agreement may violate an anti-assignment, change of control or other similar provision relating to any of such transactions. If this occurs, LIEN may have to seek to replace that agreement with a new agreement or seek an amendment to such agreement. LIEN and REFI cannot assure you that LIEN will be able to replace or amend any such agreement on comparable terms or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such agreement is material, the failure to obtain consents, amendments or waivers under, or to replace on similar terms or at all, any of these agreements could adversely affect the financial performance or results of operations of the combined company following the Merger, including preventing LIEN from operating a material part of REFI’s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consummation of the Merger may violate, conflict with, result in a breach of provisions of, or the loss of any benefit under, constitute a default (or an event that, with or without notice or lapse of time or both, would constitute a default) under, or result in the termination, cancellation, acceleration or other change of any right or obligation (including any payment obligation) under, certain agreements of LIEN or REFI. Any such violation, conflict, breach, loss, default or other effect could, either individually or in the aggregate, have a material adverse effect on the financial condition, results of operations, assets or business of the combined company following completion of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is conditioned on the assumption or repayment of REFI’s outstanding indebtedness, and consent from the lenders under the REFI Unsecured Notes has not been obtained.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a condition to Closing that the lenders under the REFI Revolving Credit Facility and the REFI Unsecured Notes shall have either agreed to LIEN’s assumption of the indebtedness or such indebtedness shall have been repaid prior to Closing. As of the date of the Merger Agreement, the agent and lenders under the REFI Revolving Credit Facility have provided a preliminary consent supporting the transaction, and the parties expect to obtain a definitive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7966x1_n14_109-risk_pg5"/>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consent prior to Closing. However, the lenders under the REFI Unsecured Notes have not provided any consent as of the date of the Merger Agreement, and although REFI expects to obtain their consent (or, alternatively, to repay the notes) prior to Closing, there is no assurance that either outcome will occur. If REFI is unable to satisfy the closing condition, the parties may not be able to consummate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opinion delivered to the LIEN Special Committee, and the opinion delivered to the REFI Board and the REFI Special Committee by the respective financial advisors to the LIEN Special Committee and the REFI Special Committee prior to the signing of the Merger Agreement will not reflect changes in circumstances since the date of the opinions.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opinions of financial advisors to the LIEN Special Committee and the REFI Special Committee, respectively, were delivered to the parties’ respective special committees of the boards on, and dated, June 16, 2026 and June 17, 2026, respectively. Changes in the operations and prospects of LIEN or REFI, general market and economic conditions and other factors that may be beyond the control of REFI or LIEN may significantly alter LIEN’s or REFI’s respective value or the price of shares of LIEN Common Stock or REFI Common Stock by the time the Merger is completed. The opinions do not speak as of the time the Merger will be completed or as of any date other than the date of such opinions. For a description of the opinion that the REFI Board and the REFI Special Committee received from the REFI Special Committee’s financial advisor, see “</w:t>
      </w:r>
      <w:r>
        <w:rPr>
          <w:rFonts w:ascii="Times New Roman;Times;serif" w:hAnsi="Times New Roman;Times;serif"/>
          <w:i/>
          <w:color w:val="000000"/>
          <w:sz w:val="20"/>
        </w:rPr>
        <w:t>The Merger — Opinion of the REFI Special Committee’s Financial Advisor.</w:t>
      </w:r>
      <w:r>
        <w:rPr>
          <w:rFonts w:ascii="Times New Roman;Times;serif" w:hAnsi="Times New Roman;Times;serif"/>
          <w:color w:val="000000"/>
          <w:sz w:val="20"/>
        </w:rPr>
        <w:t>” For a description of the opinion that the LIEN Special Committee received from the LIEN Special Committee’s financial advisor, see “</w:t>
      </w:r>
      <w:r>
        <w:rPr>
          <w:rFonts w:ascii="Times New Roman;Times;serif" w:hAnsi="Times New Roman;Times;serif"/>
          <w:i/>
          <w:color w:val="000000"/>
          <w:sz w:val="20"/>
        </w:rPr>
        <w:t>The Merger — Opinion of the LIEN Special Committee’s Financial Advisor</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announcement and pendency of the Merger could adversely affect both LIEN and REFI’s business, financial results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Merger could cause disruptions in and create uncertainty surrounding both LIEN’s and REFI’s business, including affecting relationships with existing and future borrowers, which could have a significant negative impact on future revenues and results of operations, regardless of whether the Merger is completed. In addition, LIEN and REFI have diverted, and will continue to divert, management resources towards the completion of the Merger, which could have a negative impact on each of LIEN’s and REFI’s future revenues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also subject to restrictions on the conduct of each of LIEN’s and REFI’s businesses prior to the completion of the Merger as provided in the Merger Agreement, generally requiring LIEN and REFI to conduct business only in the ordinary course and subject to specific limitations, including, among other things, certain restrictions on each of LIEN’s and REFI’s respective ability to make certain investments and acquisitions, sell, transfer or dispose of LIEN’s and REFI’s respective assets, amend each of LIEN’s and REFI’s respective organizational documents and enter into or modify certain material contracts. These restrictions could prevent LIEN or REFI from pursuing otherwise attractive business opportunities, industry developments and future opportunities and may otherwise have a significant negative impact on the respective future investment income and results of operations of each of LIEN and/or the combined company following the Merger.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Merger does not close, neither LIEN nor REFI will benefit from the expenses incurred in its pursuit.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may not be completed. If the Merger is not completed, LIEN and REFI will have incurred substantial expenses for which no ultimate benefit will have been received. Both companies have incurred out-of-pocket expenses in connection with the Merger for investment banking, legal and accounting fees and financial printing and other related charges, much of which will be incurred even if the Merger is not completed. See “</w:t>
      </w:r>
      <w:r>
        <w:rPr>
          <w:rFonts w:ascii="Times New Roman;Times;serif" w:hAnsi="Times New Roman;Times;serif"/>
          <w:i/>
          <w:color w:val="000000"/>
          <w:sz w:val="20"/>
        </w:rPr>
        <w:t>Description of the Merger Agreement — Expenses and Fees.</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termination of the Merger Agreement could negatively impact LIEN and REFI.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there may be various consequences,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and REFI’s businesses may have been adversely impacted by the failure to pursue other beneficial opportunities due to the focus of management on the Merger, without realizing any of the anticipated benefits of completing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LIEN Common Stock might decline to the extent that the market price prior to termination reflects a market assumption that the Merger will be completed;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7966x1_n14_109-risk_pg6"/>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REFI, it may not be able to find a party willing to pay an equivalent or more attractive price than the price LIEN agreed to pay in the Merger.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the ability of LIEN and REFI to pursue alternatives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provisions that limit each of LIEN’s and REFI’s ability to discuss, facilitate or commit to competing third-party proposals to acquire all or a significant part of LIEN or REFI, as applicable. These provisions, which are typical for transactions of this type, might discourage a potential competing acquirer that might have an interest in acquiring all or a significant part of LIEN or REFI from considering or proposing that acquisition even if it were prepared to pay consideration with a higher per share market price than that proposed in the Merger or might result in a potential competing acquirer proposing to pay a lower per share price to acquire LIEN or REFI than it might otherwise have proposed to pay. However, unlike many public-company merger agreements, the Merger Agreement does not require REFI or LIEN to pay a termination fee to the other party under any circumstance.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is subject to closing conditions, including shareholder approvals, that, if not satisfied or (to the extent legally allowed) waived, will result in the Merger not being completed, which may result in material adverse consequences to LIEN’s and REFI’s business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is subject to closing conditions, including certain approvals of LIEN Shareholders and REFI Shareholders that, if not satisfied, will prevent the Merger from being completed. The closing condition that REFI Shareholders adopt the Merger Agreement and approve the Merger, the BDC Election Proposal and the New BDC Advisory Agreement Proposal may not be waived under applicable law and must be satisfied for the Merger to be completed. If REFI Shareholders do not approve the Merger Proposal, the BDC Election Proposal and the New BDC Advisory Agreement Proposal and the Merger is not completed, the resulting failure of the Merger could have a material adverse impact on LIEN’s and REFI’s business and operations. In addition, the closing condition that LIEN Shareholders approve the Merger Stock Issuance Proposal and the Merger Agreement, including the Merger and related transactions, may not be waived under applicable law and must be satisfied for the Merger to be completed. If LIEN Shareholders do not approve the Merger Stock Issuance Proposal and the Merger Agreement, including the Merger and related transactions, and the Merger is not completed, the resulting failure of the Merger could have a material adverse impact on REFI’s and LIEN’s business and operations. The Merger is also conditioned on receipt by REFI of the Post-BDC Election Approvals from the REFI Board (upon recommendation of the REFI Special Committee) under Rule 17a-8 of the 1940 Act following the BDC Election Time. If the Post-BDC Election Approvals are not obtained on the anticipated schedule, the Merger will not be completed on the anticipated timeline and may not be completed at all. In addition to the required approvals of REFI Shareholders and LIEN Shareholders, the Merger is subject to a number of other conditions beyond REFI’s and LIEN’s control that may prevent, delay or otherwise materially adversely affect completion of the Merger. REFI or LIEN cannot predict whether and when these other conditions will be satisfied.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Litigation filed against LIEN and REFI in connection with the Merger could result in substantial costs and could delay or prevent the Merger from being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may be subject to legal actions, including securities class action lawsuits and derivative lawsuits, as well as various regulatory, governmental and law enforcement inquiries, investigations and subpoenas in connection with the Merger. These or any similar securities class action lawsuits and derivative lawsuits, regardless of their merits, may result in substantial costs and divert management time and resources. An adverse judgment in such cases could have a negative impact on the liquidity and financial condition of LIEN and/or the combined company following the Merger or could prevent the Merger from being completed.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LIEN and REFI will be subject to operational uncertainties and contractual restrictions while the Merger is pending.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Uncertainty about the effect of the Merger may have an adverse effect on LIEN and REFI and, consequently, on the combined company following completion of the Merger. These uncertainties may cause those that deal with LIEN and REFI to seek to change their existing business relationships with LIEN and REFI, respectively. In addition, the Merger Agreement restricts LIEN and REFI from taking actions that they might otherwise consider to be in their best interests. These restrictions may prevent LIEN and REFI from pursuing certain business opportunities that may arise prior to the completion of the Merger. Please see “</w:t>
      </w:r>
      <w:r>
        <w:rPr>
          <w:rFonts w:ascii="Times New Roman;Times;serif" w:hAnsi="Times New Roman;Times;serif"/>
          <w:i/>
          <w:color w:val="000000"/>
          <w:sz w:val="20"/>
        </w:rPr>
        <w:t>Description of the Merger Agreement — Conduct of Business Pending Completion of the Merger</w:t>
      </w:r>
      <w:r>
        <w:rPr>
          <w:rFonts w:ascii="Times New Roman;Times;serif" w:hAnsi="Times New Roman;Times;serif"/>
          <w:color w:val="000000"/>
          <w:sz w:val="20"/>
        </w:rPr>
        <w:t xml:space="preserve">” for a description of the restrictive covenants to which REFI is subject.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7966x1_n14_109-risk_pg7"/>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LIEN and REFI may waive one or more conditions to the Merger without resoliciting shareholder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conditions to LIEN’s and REFI’s respective obligations to complete the Merger may be waived, in whole or in part, to the extent legally allowed, either unilaterally or by agreement of LIEN and REFI. In the event that any such waiver does not require resolicitation of shareholders, the parties to the Merger Agreement will have the discretion to complete the Merger without seeking further shareholder approval. The conditions requiring the approval of the Merger Stock Issuance Proposal and the Merger Agreement, including the Merger and related transactions, by LIEN Shareholders and the BDC Election Proposal, the New BDC Advisory Agreement Proposal, and the Merger Proposal by REFI Shareholders, however, cannot be waived.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shares of LIEN Common Stock to be received by REFI Shareholders as a result of the Merger will have different rights associated with them than the shares of REFI Common Stock currently held by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rights associated with REFI Common Stock are different from the rights associated with LIEN Common Stock. See “</w:t>
      </w:r>
      <w:r>
        <w:rPr>
          <w:rFonts w:ascii="Times New Roman;Times;serif" w:hAnsi="Times New Roman;Times;serif"/>
          <w:i/>
          <w:color w:val="000000"/>
          <w:sz w:val="20"/>
        </w:rPr>
        <w:t>Comparison of LIEN and REFI Shareholder Rights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dividends from LIEN received by the former REFI Shareholders generally will not be eligible for Section 199A treatment of REIT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 has elected to be treated as a REIT for U.S. federal income tax purposes. Certain ordinary dividends paid by a REIT may be treated as “qualified REIT dividends” eligible for the deduction available to non-corporate taxpayers under Section 199A of the Code, subject to certain limitations. As a result, a REFI Shareholder that is a non-corporate taxpayer currently may be eligible for a U.S. federal income tax deduction equal to 20% of the aggregate amount of qualified REIT dividends received by such shareholder from REFI, subject to applicable limitations and holding period requirements. By contrast, following the Merger, REFI Shareholders will own shares of LIEN, a BDC that is treated as a RIC, not a REIT, and dividends paid by LIEN generally will not be qualified REIT dividends eligible for the Section 199A deduction. Accordingly, for certain non-corporate former REFI Shareholders, the Merger may increase the effective U.S. tax rate applicable to taxable dividends received from LIEN as compared to the effective tax rate previously incurred on taxable dividends received from REFI.</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are urged to consult their own tax advisors regarding the U.S. federal income tax consequences of the Merger and the ownership and disposition of shares of LIEN Common Stock in light of their particular circumstances.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LIEN Common Stock after the Merger may be affected by factors different from those affecting REFI Common Stock currently.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businesses of LIEN and REFI differ in some respects and, accordingly, the results of operations of the combined company and the market price of LIEN Common Stock after the Merger may be affected by factors different from those currently affecting the independent results of operations of LIEN and REFI and the market prices of LIEN Common Stock and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factors include a larger shareholder base, differences in the investment strategies and a different capital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Accordingly, the historical trading prices and financial results of LIEN may not be indicative of these matters for the combined company following the Merger. For a discussion of the business of LIEN and of certain factors to consider in connection with its business, see “</w:t>
      </w:r>
      <w:r>
        <w:rPr>
          <w:rFonts w:ascii="Times New Roman;Times;serif" w:hAnsi="Times New Roman;Times;serif"/>
          <w:i/>
          <w:color w:val="000000"/>
          <w:sz w:val="20"/>
        </w:rPr>
        <w:t>Business of LIEN</w:t>
      </w:r>
      <w:r>
        <w:rPr>
          <w:rFonts w:ascii="Times New Roman;Times;serif" w:hAnsi="Times New Roman;Times;serif"/>
          <w:color w:val="000000"/>
          <w:sz w:val="20"/>
        </w:rPr>
        <w:t>.” For a discussion of the business of REFI and of certain factors to consider in connection with its business, see “</w:t>
      </w:r>
      <w:r>
        <w:rPr>
          <w:rFonts w:ascii="Times New Roman;Times;serif" w:hAnsi="Times New Roman;Times;serif"/>
          <w:i/>
          <w:color w:val="000000"/>
          <w:sz w:val="20"/>
        </w:rPr>
        <w:t>Business of REFI</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will be subject to a BDC fee structure that has historically been higher in the aggregate than REFI’s REIT fee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 will be externally managed by LIEN Adviser pursuant to a BDC-style investment advisory agreement, which provides for a base management fee calculated on gross assets and a two-part incentive fee. REFI is currently subject to a REIT-style management fee structure providing for a base management fee calculated on total equity and a single-tier incentive fee tied to REFI Core Earnings. Based on historical fee comparisons reviewed by the REFI Special Committee, the BDC fee structure applicable to the combined company would have resulted in higher aggregate management and incentive fees over the historical periods reviewed than REFI’s existing REIT fee structure. REFI Shareholders should consider that the combined company’s fee structure may result in higher aggregate fees borne by shareholders relative to REFI’s fee structure on a standalone basis. See “Comparative Fees and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7966x1_n14_109-risk_pg8"/>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LIEN Shareholders and REFI Shareholders do not have appraisal rights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Appraisal rights are statutory rights that enable shareholders to dissent from certain extraordinary transactions, such as certain mergers, and to demand that the corporation pay the fair value for their shares as determined by a court in a judicial proceeding instead of receiving the consideration offered to shareholders in connection with the applicable transaction. Under Maryland law, LIEN Shareholders and REFI Shareholders will not have rights to an appraisal of the fair value of their shares in connection with the Merger.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may not be treated as a tax-free reorganization under Section 368(a)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intend that the Merger will qualify as a tax-free reorganization under Section 368(a) of the Code, and each expect to receive a legal opinion to that effect. However, if the Internal Revenue Service (the “IRS”) or a court determines that the Merger should not be treated as a tax-free reorganization under Section 368(a) of the Code, then a shareholder would generally recognize gains or losses for U.S. federal income tax purposes upon the exchange of REFI Common Stock for LIEN Common Stock in the Merger.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incur adverse tax consequences if either LIEN or REFI have failed or fails to qualify for taxation as a RIC or a REIT, respectively, for United States federal income tax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has elected to qualify as a REIT and has operated in a manner that it believes has allowed it to qualify as a REIT for U.S. federal income tax purposes under the Code and intends to continue to so qualify as a REIT at the time of the Merger. LIEN has elected to qualify as a RIC and has operated in a manner that it believes has allowed it to qualify as a RIC for U.S. federal income tax purposes under the Code and intends to continue to do so through and following the Merger. In order to qualify as a RIC or a REIT, a corporation must satisfy numerous requirements relating to, among other things, the nature of its assets, income and distributions. If LIEN or REFI had failed or fails to qualify as a RIC or a REIT, respectively, for U.S. federal income tax purposes, the combined company may have significant tax liabilities, or may have to make significant distributions and pay penalty or excise taxes in order for the combined company to qualify as a RIC. These liabilities could substantially reduce the combined company’s cash available for distribution to its shareholders and the value of LIEN Common Stock. In addition, if either LIEN or REFI have failed or fail to qualify as a RIC or a REIT, respectively, for U.S. federal income tax purposes, the analysis of the Merger as a tax-free reorganization could be impacted.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7966x1_n14_110-comparative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CFE"/>
      <w:bookmarkEnd w:id="63"/>
      <w:r>
        <w:rPr>
          <w:rFonts w:ascii="Times New Roman;Times;serif" w:hAnsi="Times New Roman;Times;serif"/>
          <w:b/>
          <w:color w:val="000000"/>
          <w:sz w:val="20"/>
        </w:rPr>
        <w:t xml:space="preserve">COMPARATIVE FEES AND EXPENSES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Comparative Fees and Expenses Relating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are intended to assist LIEN Shareholders and REFI Shareholders in understanding the costs and expenses that an investor in shares of LIEN Common Stock or REFI Common Stock bears directly or indirectly and, based on the assumptions set forth below, the pro forma costs and expenses estimated to be incurred by the combined company in the first year following completion of the Merger. LIEN and REFI caution you that some of the percentages indicated in the table below are estimates and may vary. Actual expenses may be greater or less than shown. Except where the context suggests otherwise, whenever this document contains a reference to fees or expenses paid or to be paid by “you,” “LIEN” or “REFI,” investors will indirectly bear such fees or expenses as shareholders of LIEN or REFI, as applicable. The table below is based on information as of March 31, 2026 (except as noted below) and includes expenses of the applicable consolidated subsidiaries. </w:t>
      </w:r>
    </w:p>
    <w:tbl>
      <w:tblPr>
        <w:tblW w:w="9620" w:type="dxa"/>
        <w:jc w:val="left"/>
        <w:tblInd w:w="0" w:type="dxa"/>
        <w:tblLayout w:type="fixed"/>
        <w:tblCellMar>
          <w:top w:w="0" w:type="dxa"/>
          <w:left w:w="0" w:type="dxa"/>
          <w:bottom w:w="0" w:type="dxa"/>
          <w:right w:w="0" w:type="dxa"/>
        </w:tblCellMar>
      </w:tblPr>
      <w:tblGrid>
        <w:gridCol w:w="6740"/>
        <w:gridCol w:w="140"/>
        <w:gridCol w:w="140"/>
        <w:gridCol w:w="575"/>
        <w:gridCol w:w="140"/>
        <w:gridCol w:w="140"/>
        <w:gridCol w:w="575"/>
        <w:gridCol w:w="140"/>
        <w:gridCol w:w="140"/>
        <w:gridCol w:w="890"/>
      </w:tblGrid>
      <w:tr>
        <w:trPr/>
        <w:tc>
          <w:tcPr>
            <w:tcW w:w="6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67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transaction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load (as a percentage of offering price)(1)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Offering expenses (as a percentage of offering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reinvestment plan fees(2)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 transaction expenses (as a percentage of offering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expenses (as a percentage of net assets attributable to common stock)(3):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2.10%</w:t>
            </w:r>
            <w:r>
              <w:rPr>
                <w:rFonts w:ascii="Times New Roman;Times;serif" w:hAnsi="Times New Roman;Times;serif"/>
                <w:color w:val="000000"/>
                <w:sz w:val="20"/>
              </w:rPr>
              <w:t xml:space="preserve">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 </w:t>
            </w:r>
          </w:p>
        </w:tc>
      </w:tr>
      <w:tr>
        <w:trPr/>
        <w:tc>
          <w:tcPr>
            <w:tcW w:w="67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payments on borrowed funds(6)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 </w:t>
            </w:r>
          </w:p>
        </w:tc>
      </w:tr>
      <w:tr>
        <w:trPr/>
        <w:tc>
          <w:tcPr>
            <w:tcW w:w="67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expenses(7)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1.73</w:t>
            </w:r>
            <w:r>
              <w:rPr>
                <w:rFonts w:ascii="Times New Roman;Times;serif" w:hAnsi="Times New Roman;Times;serif"/>
                <w:color w:val="000000"/>
                <w:sz w:val="20"/>
              </w:rPr>
              <w:t xml:space="preserve">% </w:t>
            </w:r>
          </w:p>
        </w:tc>
      </w:tr>
      <w:tr>
        <w:trPr/>
        <w:tc>
          <w:tcPr>
            <w:tcW w:w="67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annual expenses(8)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9.08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8.13</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52"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8.85</w:t>
            </w:r>
            <w:r>
              <w:rPr>
                <w:rFonts w:ascii="Times New Roman;Times;serif" w:hAnsi="Times New Roman;Times;serif"/>
                <w:b/>
                <w:color w:val="000000"/>
                <w:sz w:val="20"/>
              </w:rPr>
              <w:t>%</w:t>
            </w:r>
          </w:p>
        </w:tc>
      </w:tr>
      <w:tr>
        <w:trPr/>
        <w:tc>
          <w:tcPr>
            <w:tcW w:w="6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Purchases of shares of LIEN Common Stock or REFI Common Stock on the secondary market are not subject to sales load, but may be subject to brokerage commissions or other charges. The table does not include any sales load (underwriting discounts or commissions) that shareholders may have paid in connection with their purchase of shares of LIEN Common Stock or REFI Common Stock. </w:t>
            </w:r>
          </w:p>
        </w:tc>
      </w:tr>
    </w:tbl>
    <w:tbl>
      <w:tblPr>
        <w:tblW w:w="5035" w:type="dxa"/>
        <w:jc w:val="left"/>
        <w:tblInd w:w="0" w:type="dxa"/>
        <w:tblLayout w:type="fixed"/>
        <w:tblCellMar>
          <w:top w:w="0" w:type="dxa"/>
          <w:left w:w="0" w:type="dxa"/>
          <w:bottom w:w="0" w:type="dxa"/>
          <w:right w:w="0" w:type="dxa"/>
        </w:tblCellMar>
      </w:tblPr>
      <w:tblGrid>
        <w:gridCol w:w="230"/>
        <w:gridCol w:w="48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8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LIEN and REFI do not currently have a dividend reinvestment plan.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the LIEN column “net assets” equals LIEN’s net assets as of March 31, 2026. For the REFI column, “net assets” equals REFI’s net assets (shareholders’ equity) adjusted to reflect REFI’s BDC Election as of March 31, 2026. For the Pro Forma column, the combined net assets of LIEN as adjusted for the Merger and REFI’s BDC Election as of March 31, 2026 were used. See “</w:t>
            </w:r>
            <w:r>
              <w:rPr>
                <w:rFonts w:ascii="Times New Roman;Times;serif" w:hAnsi="Times New Roman;Times;serif"/>
                <w:i/>
                <w:color w:val="000000"/>
                <w:sz w:val="16"/>
              </w:rPr>
              <w:t>Capitalization</w:t>
            </w:r>
            <w:r>
              <w:rPr>
                <w:rFonts w:ascii="Times New Roman;Times;serif" w:hAnsi="Times New Roman;Time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LIEN, the base management fee under the LIEN Investment Advisory Agreement is calculated at an annual rate of 1.75% of LIEN’s average gross assets (i.e., total assets held before deduction of any liabilities), which includes investments acquired with the use of leverage and excludes cash and cash equivalents (as defined in the notes to LIEN’s financial statements). Consequently, if LIEN has outstanding borrowings, the base management fee as a percentage of net assets attributable to common stock would be higher than if it did not utilize leverage. The base management fee shown in the table above for LIEN is based on the actual amount incurred by LIEN during the three months ended March 31, 2026, annualized for a full year. The base management fee assuming that LIEN’s average gross assets (excluding cash and cash equivalents) are approximately $349.6 million would be 1.75% of average gross assets.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REFI’s base management fee, which is due and payable quarterly, is calculated at an annual rate of 1.50% of REFI’s total Equity, determined as of the last day of each quarter. Equity is (i) the sum of (A) the net proceeds from all issuances of the REFI’s equity securities since inception through such date (allocated on a pro rata daily basis for such issuances during the fiscal quarter of any such issuance), plus (B) the Company’s retained earnings at the end of the most recently completed fiscal quarter determined in accordance with GAAP (without taking into account any non-cash equity compensation expense incurred in current or prior periods), less (ii) (A) any amount that REFI has paid to repurchase REFI Common Stock since inception through such date; (B) any unrealized gains and losses and other non-cash items that have impacted shareholders’ equity as reported in REFI’s financial statements prepared in accordance with GAAP through such date; and (C) onetime events pursuant to changes in GAAP, and certain non-cash items not otherwise described above, through such date, in each case after discussions between REFI Manager and the REFI Independent Directors and approval by a majority of the REFI Independent Directors.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REFI’s total Equity, for purposes of calculating the base management fee, could be greater or less than the amount of shareholders’ equity shown on REFI’s consolidated financial statements incorporated by reference herein. REFI’s base management fee is reduced by an amount equal to 50% of the pro rata amount of origination fees earned and paid to REFI Manager during the applicable quarter. The base management fee is payable independent of the performance of REFI’s loan portfolio. The base management fee shown in the table above for REFI is based on the actual amount incurred by REFI during the three months ended March 31, 2026, annualized for a full year.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Following completion of the Merger, the combined company will be externally managed by LIEN Adviser. The pro forma base management fee referenced in the table above is based on the combined gross assets (excluding cash and cash equivalents) of LIEN and REFI on a pro forma basis as of March 31, 2026.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LIEN, the incentive fee consists of two parts. The first part of the incentive fee, the incentive fee on income, which is payable quarterly in arrears, is equal to 20% of the excess, if any, of LIEN’s “pre-incentive fee net investment income” that exceeds a 1.75% quarterly (7% annualized) hurdle rate, subject to a “catch up” provision measured at the end of each quarter. The incentive fee on income is computed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7966x1_n14_110-comparative_pg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and paid on income that may include interest that is accrued but not yet received, and may never be received, in cash. The second part of the incentive fee, the incentive fee on capital gains, payable at the end of each fiscal year (or upon termination of the LIEN Investment Advisory Agreement) in arrears, equals 20% of cumulative realized capital gains from inception to the end of each fiscal year, less cumulative realized capital losses, unrealized capital depreciation and unrealized capital appreciation from inception to the end of each fiscal year, less the aggregate amount of any previously paid incentive fees on capital gains for prior periods. The incentive fee shown for LIEN is based on actual income-based incentive fees incurred during the three months ended March 31, 2026, annualized for a full year. The capital-gains incentive fees are excluded. For more detailed information about LIEN’s incentive fee, see “Part I, Item 1. BUSINESS – Investment Advisory Agreement” in LIEN’s Annual Report on Form 10-K for the fiscal year ended December 31, 2025.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For REFI, the incentive fee is calculated and payable in cash with respect to each calendar quarter in arrears in an amount not less than zero, equal to the excess of (1) the product of (a) 20% and (b) the excess of (i) REFI Core Earnings for the previous 12-month period, over (ii) the product of (A) REFI’s total equity in the previous 12-month period, and (B) 8% per annum, over (2) the sum of any incentive compensation paid to REFI Manager with respect to the first three calendar quarters of such previous 12-month period; provided, however, that no incentive compensation is payable with respect to any calendar quarter unless REFI Core Earnings for the 12 most recently completed calendar quarters in the aggregate is greater than zero. The incentive fee shown for REFI is based on actual incentive fees incurred during the three months ended March 31, 2026, annualized for a full year. For more detailed information about the incentive fee, see “Part I, Item 1. BUSINESS – Management Compensation” in REFI’s Annual Report on Form 10-K for the fiscal year ended December 31, 2025.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Following completion of the Merger, the combined company will be externally managed by LIEN Adviser. The pro forma incentive fee has been calculated in accordance with the terms of the LIEN Investment Advisory Agreement.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LIEN had outstanding borrowings under the LIEN Revolving Credit Facility of approximately $54.5 million as of March 31, 2026. Interest payments on borrowed funds represents actual amounts of interest expense, including unused/commitment fees and amortization of deferred financing and debt issuance costs, incurred during the three months ended March 31, 2026, annualized for a full year. For the three months ended March 31, 2026, the average interest rate on LIEN’s average daily borrowings was 8.74%. LIEN may borrow additional funds from time to time to make investments to the extent it determines that the economic situation is conducive to doing so. LIEN may also issue debt securities or preferred stock, subject to its compliance with applicable requirements under the 1940 Act.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REFI had outstanding borrowings of approximately $117.1 million as of March 31, 2026. Interest payments on REFI’s borrowed funds under the REFI Revolving Credit Facility and the REFI Unsecured Notes represent actual amounts of interest expense, including unused/commitment fees and amortization of deferred financing and debt issuance costs, incurred during the three months ended March 31, 2026, annualized for a full year. For the three months ended March 31, 2026, the weighted average interest rate on REFI’s total debt outstanding was 8.38%. REFI may borrow additional funds from time to time to make investments to the extent it determines that the economic situation is conducive to doing so. REFI may also issue additional debt securities or preferred stock, subject to its compliance with the REFI Charter.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“Pro Forma” column assumes the sum of amounts of average borrowings during the three months ended March 31, 2026 for each of LIEN and REFI for the combined company following the Merger.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the case of LIEN, other expenses include sub-administrator, legal, audit, insurance, valuation, custodian fees, and general and administrative expenses, as well as other professional fees, fees payable to the LIEN Independent Directors and excise tax expense; the amount shown reflects actual amounts incurred during the three months ended March 31, 2026, annualized for a full year.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In the case of REFI, other expenses include general and administrative, professional and stock-based compensation expenses incurred during the three months ended March 31, 2026, annualized for a full year; the provision for current expected credit losses is excluded. REFI’s stock-based compensation is reflected in the REFI column but is excluded from the Pro Forma column because it will not recur under the combined company’s external management structure (following the Merger the combined company will be externally managed by LIEN Adviser). The “Pro Forma” column assumes the sum of amounts estimated for each of LIEN and REFI for the combined company following the Merger and reflects decreases in duplicative costs such as professional fees for legal, audit, accounting, tax and valuation fees, directors’ fees, and other redundant administrative and operating expenses directly related to the Merger (estimated reductions of approximately 25% to 45% of the combined duplicative amounts, or approximately $3.6 million annually, based on management estimates). “Other expenses” does not reflect any potential provision (benefit) for income taxes because of the uncertainties associated with determining such amounts in future periods.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Total annual expenses” is presented as a percentage of net assets attributable to holders of common stock because LIEN Shareholders and REFI Shareholders bear all of the fees and expenses of the respective company. “Total annual expenses” does not reflect any potential provision (benefit) for income taxes because of the uncertainties associated with determining such amounts in future periods.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7966x1_n14_110-comparative_pg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Example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example demonstrates the projected dollar amount of total cumulative expenses that would be incurred over various periods with respect to a hypothetical investment in LIEN, REFI or the combined company’s common stock following completion of the Merger on a pro forma basis, in each case assuming that LIEN, REFI and the combined company hold no cash or liabilities other than debt. In calculating the following expense amounts, each of LIEN and REFI has assumed that it would have no additional leverage and that its annual operating expenses would remain at the levels set forth in the tables above. Calculations for the pro forma combined company following the Merger assume that the Merger closed on March 31, 2026 and that the leverage and operating expenses of LIEN and REFI remain at the levels set forth in the tables above. Transaction expenses related to the Merger are not included in the following examples. </w:t>
      </w:r>
    </w:p>
    <w:tbl>
      <w:tblPr>
        <w:tblW w:w="10205" w:type="dxa"/>
        <w:jc w:val="left"/>
        <w:tblInd w:w="0" w:type="dxa"/>
        <w:tblLayout w:type="fixed"/>
        <w:tblCellMar>
          <w:top w:w="0" w:type="dxa"/>
          <w:left w:w="0" w:type="dxa"/>
          <w:bottom w:w="0" w:type="dxa"/>
          <w:right w:w="0" w:type="dxa"/>
        </w:tblCellMar>
      </w:tblPr>
      <w:tblGrid>
        <w:gridCol w:w="6841"/>
        <w:gridCol w:w="140"/>
        <w:gridCol w:w="140"/>
        <w:gridCol w:w="479"/>
        <w:gridCol w:w="140"/>
        <w:gridCol w:w="140"/>
        <w:gridCol w:w="540"/>
        <w:gridCol w:w="140"/>
        <w:gridCol w:w="140"/>
        <w:gridCol w:w="540"/>
        <w:gridCol w:w="140"/>
        <w:gridCol w:w="140"/>
        <w:gridCol w:w="685"/>
      </w:tblGrid>
      <w:tr>
        <w:trPr/>
        <w:tc>
          <w:tcPr>
            <w:tcW w:w="68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0"/>
              <w:jc w:val="left"/>
              <w:rPr/>
            </w:pPr>
            <w:r>
              <w:rPr/>
              <w:t> </w:t>
            </w:r>
          </w:p>
        </w:tc>
      </w:tr>
      <w:tr>
        <w:trPr/>
        <w:tc>
          <w:tcPr>
            <w:tcW w:w="68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 years </w:t>
            </w:r>
          </w:p>
        </w:tc>
      </w:tr>
      <w:tr>
        <w:trPr/>
        <w:tc>
          <w:tcPr>
            <w:tcW w:w="68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You would pay the following expenses on a $1,000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0"/>
              <w:jc w:val="center"/>
              <w:rPr>
                <w:color w:val="000000"/>
              </w:rPr>
            </w:pPr>
            <w:r>
              <w:rPr>
                <w:color w:val="000000"/>
              </w:rPr>
              <w:t> </w:t>
            </w:r>
          </w:p>
        </w:tc>
      </w:tr>
      <w:tr>
        <w:trPr/>
        <w:tc>
          <w:tcPr>
            <w:tcW w:w="684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LIEN, assuming a 5% annual return (assumes no return from net realized capital 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$561 </w:t>
            </w:r>
          </w:p>
        </w:tc>
      </w:tr>
      <w:tr>
        <w:trPr/>
        <w:tc>
          <w:tcPr>
            <w:tcW w:w="684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REFI, assuming a 5% annual return (assumes no return from net realized capital gains)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$660 </w:t>
            </w:r>
          </w:p>
        </w:tc>
      </w:tr>
      <w:tr>
        <w:trPr/>
        <w:tc>
          <w:tcPr>
            <w:tcW w:w="684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LIEN, assuming a 5% annual return (assumes return entirely from realized capital 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$625 </w:t>
            </w:r>
          </w:p>
        </w:tc>
      </w:tr>
      <w:tr>
        <w:trPr/>
        <w:tc>
          <w:tcPr>
            <w:tcW w:w="684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REFI, assuming a 5% annual return (assumes return entirely from realized capital gains)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$660</w:t>
            </w:r>
          </w:p>
        </w:tc>
      </w:tr>
      <w:tr>
        <w:trPr/>
        <w:tc>
          <w:tcPr>
            <w:tcW w:w="68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7002"/>
        <w:gridCol w:w="140"/>
        <w:gridCol w:w="140"/>
        <w:gridCol w:w="441"/>
        <w:gridCol w:w="140"/>
        <w:gridCol w:w="140"/>
        <w:gridCol w:w="511"/>
        <w:gridCol w:w="140"/>
        <w:gridCol w:w="140"/>
        <w:gridCol w:w="511"/>
        <w:gridCol w:w="140"/>
        <w:gridCol w:w="140"/>
        <w:gridCol w:w="620"/>
      </w:tblGrid>
      <w:tr>
        <w:trPr/>
        <w:tc>
          <w:tcPr>
            <w:tcW w:w="70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r>
      <w:tr>
        <w:trPr/>
        <w:tc>
          <w:tcPr>
            <w:tcW w:w="70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 years </w:t>
            </w:r>
          </w:p>
        </w:tc>
      </w:tr>
      <w:tr>
        <w:trPr/>
        <w:tc>
          <w:tcPr>
            <w:tcW w:w="7002"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Pro forma combined company following the Merger — You would pay the following expenses on a $1,000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700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Assuming a 5% annual return (assumes no return from net realized capital gains)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$560 </w:t>
            </w:r>
          </w:p>
        </w:tc>
      </w:tr>
      <w:tr>
        <w:trPr/>
        <w:tc>
          <w:tcPr>
            <w:tcW w:w="700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Assuming a 5% annual return (assumes return entirely from realized capital gains)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$624</w:t>
            </w:r>
          </w:p>
        </w:tc>
      </w:tr>
      <w:tr>
        <w:trPr/>
        <w:tc>
          <w:tcPr>
            <w:tcW w:w="700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tables are intended to assist you in understanding the various costs and expenses that an investor in LIEN, REFI or, following the Merger, the combined company will bear directly or indirectly. While the example assumes, as required by the SEC, a 5% annual return, performance of LIEN, REFI and the combined company will vary and may result in a return greater or less than 5%. The incentive fee based on pre-incentive fee NII under the LIEN Investment Advisory Agreement and the REFI Management Agreement, which, assuming a 5% annual return, would either not be payable or would have an insignificant impact on the expense amounts shown above, is not included in the example. If sufficient returns are achieved on investments, including through the realization of capital gains, to trigger an incentive fee of a material amount, expenses, and returns to investors, would be higher. This example assumes that, as of March 31, 2026, the sum of realized capital losses and unrealized capital depreciation on a cumulative basis since inception for LIEN and REFI is zero.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example and the expenses in the table above should not be considered a representation of LIEN’s, REFI’s, or, following completion of the Merger, the combined company’s, future expenses, and actual expenses may be greater or less than those shown.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7966x1_n14_111-description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NEW"/>
      <w:bookmarkEnd w:id="67"/>
      <w:r>
        <w:rPr>
          <w:rFonts w:ascii="Times New Roman;Times;serif" w:hAnsi="Times New Roman;Times;serif"/>
          <w:b/>
          <w:color w:val="000000"/>
          <w:sz w:val="20"/>
        </w:rPr>
        <w:t xml:space="preserve">DESCRIPTION OF THE NEW BDC ADVISORY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15 of the 1940 Act requires an investment adviser to a registered investment company (including a BDC) to be party to a written investment advisory agreement that has been approved by the shareholders of the investment company. As a result, from and after the BDC Election Time, REFI is required to have a 1940 Act compliant investment advisory agreement in place. Under the Merger Agreement, REFI has agreed to enter into the New BDC Advisory Agreement with LIEN Adviser, subject to approval by REFI Shareholders under the New BDC Advisory Agreement Proposal. The material terms of the New BDC Advisory Agreement are described below. A copy of the form of the New BDC Advisory Agreement is attached to this joint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is incorporated herein by reference. The description below is qualified in its entirety by reference to the full text of the form of New BDC Advisory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Effective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New BDC Advisory Agreement will become effective at the BDC Election Time and will remain in effect only for the brief period between the BDC Election Time and the Merger Effective Time, which is expected to be a matter of hours on the same day as the REFI Special Meeting. Immediately after the Merger Effective Time, the New BDC Advisory Agreement will terminate automatically. From and after the Merger Effective Time, the combined company will be advised by LIEN Adviser pursuant to the existing LIEN Investment Advisory Agreement, which has been approved by LIEN Shareholders. See “</w:t>
      </w:r>
      <w:r>
        <w:rPr>
          <w:rFonts w:ascii="Times New Roman;Times;serif" w:hAnsi="Times New Roman;Times;serif"/>
          <w:i/>
          <w:color w:val="000000"/>
          <w:sz w:val="20"/>
        </w:rPr>
        <w:t>Business of LIEN</w:t>
      </w:r>
      <w:r>
        <w:rPr>
          <w:rFonts w:ascii="Times New Roman;Times;serif" w:hAnsi="Times New Roman;Times;serif"/>
          <w:color w:val="000000"/>
          <w:sz w:val="20"/>
        </w:rPr>
        <w:t>” and “</w:t>
      </w:r>
      <w:r>
        <w:rPr>
          <w:rFonts w:ascii="Times New Roman;Times;serif" w:hAnsi="Times New Roman;Times;serif"/>
          <w:i/>
          <w:color w:val="000000"/>
          <w:sz w:val="20"/>
        </w:rPr>
        <w:t>Management Agreements of LIEN</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Substantially Similar to the LIEN Investment Advisory Agreement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pPr>
      <w:r>
        <w:rPr>
          <w:rFonts w:ascii="Times New Roman;Times;serif" w:hAnsi="Times New Roman;Times;serif"/>
          <w:color w:val="000000"/>
          <w:sz w:val="20"/>
        </w:rPr>
        <w:t>The New BDC Advisory Agreement is substantially the same as the LIEN Investment Advisory Agreement in all material respects, including with respect to services to be provided, fee structure, term, termination, indemnification and standard of care. See “</w:t>
      </w:r>
      <w:r>
        <w:rPr>
          <w:rFonts w:ascii="Times New Roman;Times;serif" w:hAnsi="Times New Roman;Times;serif"/>
          <w:i/>
          <w:color w:val="000000"/>
          <w:sz w:val="20"/>
        </w:rPr>
        <w:t>Business of LIEN,</w:t>
      </w:r>
      <w:r>
        <w:rPr>
          <w:rFonts w:ascii="Times New Roman;Times;serif" w:hAnsi="Times New Roman;Times;serif"/>
          <w:color w:val="000000"/>
          <w:sz w:val="20"/>
        </w:rPr>
        <w:t>” “</w:t>
      </w:r>
      <w:r>
        <w:rPr>
          <w:rFonts w:ascii="Times New Roman;Times;serif" w:hAnsi="Times New Roman;Times;serif"/>
          <w:i/>
          <w:color w:val="000000"/>
          <w:sz w:val="20"/>
        </w:rPr>
        <w:t>Management Agreements of LIEN</w:t>
      </w:r>
      <w:r>
        <w:rPr>
          <w:rFonts w:ascii="Times New Roman;Times;serif" w:hAnsi="Times New Roman;Times;serif"/>
          <w:color w:val="000000"/>
          <w:sz w:val="20"/>
        </w:rPr>
        <w:t xml:space="preserve">” and Item 1 of Part I of LIEN’s Annual Report on </w:t>
      </w:r>
      <w:hyperlink r:id="rId4">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which is incorporated herein by reference, for the material terms of the LIEN Investment Advisory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Advisory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New BDC Advisory Agreement, LIEN Adviser will manage REFI’s day-to-day operations and provide REFI with investment advisory and management services. Specifically, LIEN Adviser will (i) determine the composition and allocation of REFI’s investment portfolio, the nature and timing of any changes to REFI’s investment portfolio, and the manner of implementing any such changes; (ii) identify, evaluate, negotiate and structure the investments REFI will make; (iii) execute, close, service and monitor the investments REFI makes; (iv) determine the securities and other assets REFI will purchase, retain or sell; (v) perform due diligence on prospective portfolio companies; and (vi) provide REFI with such other investment advisory, research and related services as REFI may, from time to time, reasonably require.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Fee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New BDC Advisory Agreement, LIEN Adviser will be entitled to a base management fee and a two-part incentive fee.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Base Management Fee</w:t>
      </w:r>
      <w:r>
        <w:rPr>
          <w:rFonts w:ascii="Times New Roman;Times;serif" w:hAnsi="Times New Roman;Times;serif"/>
          <w:i w:val="false"/>
          <w:caps w:val="false"/>
          <w:smallCaps w:val="false"/>
          <w:color w:val="000000"/>
          <w:sz w:val="20"/>
        </w:rPr>
        <w:t xml:space="preserve">. The base management fee will be calculated at an annual rate of 1.75% of REFI’s average gross assets (i.e., total assets held before deduction of any liabilities), which will include investments acquired with the use of leverage and exclude cash and cash equivalents. The base management fee will be payable quarterly in arrears.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Incentive Fee</w:t>
      </w:r>
      <w:r>
        <w:rPr>
          <w:rFonts w:ascii="Times New Roman;Times;serif" w:hAnsi="Times New Roman;Times;serif"/>
          <w:i w:val="false"/>
          <w:caps w:val="false"/>
          <w:smallCaps w:val="false"/>
          <w:color w:val="000000"/>
          <w:sz w:val="20"/>
        </w:rPr>
        <w:t xml:space="preserve">. The incentive fee will consist of two parts. The first part, the incentive fee on income, will be payable quarterly in arrears and will equal 20% of the excess, if any, of REFI’s “pre-incentive fee net investment income” over a 1.75% quarterly (7% annualized) hurdle rate, subject to a “catch-up” feature. The second part, the incentive fee on capital gains, will be payable at the end of each fiscal year (or upon termination of the New BDC Advisory Agreement) and will equal 20% of cumulative realized capital gains, less cumulative realized capital losses, unrealized capital depreciation and unrealized capital appreciation, less the aggregate amount of any previously paid incentive fees on capital gains for prior periods.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Because the New BDC Advisory Agreement is expected to be in effect only for a matter of hours between the BDC Election Time and the Merger Effective Time, no material fees are expected to be earned by LIEN Adviser under the New BDC Advisory Agreement during its brief effective period. The fees to be borne by the combined company under the LIEN Investment Advisory Agreement following the Merger are described in “</w:t>
      </w:r>
      <w:r>
        <w:rPr>
          <w:rFonts w:ascii="Times New Roman;Times;serif" w:hAnsi="Times New Roman;Times;serif"/>
          <w:i/>
          <w:color w:val="000000"/>
          <w:sz w:val="20"/>
        </w:rPr>
        <w:t>Comparative Fees and Expenses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7966x1_n14_111-description_pg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comparison of the fee structure under the New BDC Advisory Agreement to the fee structure under the existing REFI Management Agreement, see “</w:t>
      </w:r>
      <w:r>
        <w:rPr>
          <w:rFonts w:ascii="Times New Roman;Times;serif" w:hAnsi="Times New Roman;Times;serif"/>
          <w:i/>
          <w:color w:val="000000"/>
          <w:sz w:val="20"/>
        </w:rPr>
        <w:t>Comparative Fees and Expenses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 and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New BDC Advisory Agreement will have an initial two-year term and will continue thereafter from year to year if approved annually by a majority of the REFI Independent Directors or the vote of a majority of REFI’s outstanding voting securities (as defined in the 1940 Act). The New BDC Advisory Agreement may be terminated at any time, without payment of any penalty, on 60 days’ written notice by REFI (upon vote of a majority of the REFI Board or a majority of REFI’s outstanding voting securities) or by LIEN Adviser. In addition, the New BDC Advisory Agreement will terminate automatically upon (i) its assignment (as defined in the 1940 Act) or (ii) the Merger Effective Time, as described above.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New BDC Advisory Agreement provides that, absent willful misfeasance, bad faith or gross negligence in the performance of its duties, or reckless disregard of its obligations and duties under the New BDC Advisory Agreement, LIEN Adviser and its affiliates, and their respective officers, managers, partners, agents, employees, controlling persons and members, are entitled to indemnification from REFI for any damages, liabilities, costs and expenses (including reasonable attorneys’ fees and amounts reasonably paid in settlement) arising from the rendering of LIEN Adviser’s services under the New BDC Advisory Agreement or otherwise as investment adviser to REFI.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REFI Special Committee and REFI Board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New BDC Advisory Agreement, the REFI Special Committee and the REFI Board considered the factors required under Section 15(c) of the 1940 Act. These factors include (i) the nature, extent and quality of the services to be provided by LIEN Adviser; (ii) the investment performance of LIEN Adviser and its affiliates; (iii) the cost of the services to be provided and the profits to be realized by LIEN Adviser from its relationship with REFI; (iv) the extent to which economies of scale would be realized as REFI grows; and (v) whether fee levels reflect these economies of scale for the benefit of REFI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New BDC Advisory Agreement is substantively identical to the LIEN Investment Advisory Agreement and that, because the New BDC Advisory Agreement is expected to be in effect only for a matter of hours between the BDC Election Time and the Merger Effective Time, the terms of the New BDC Advisory Agreement will have no material practical effect on REFI Shareholders separate from the terms of the LIEN Investment Advisory Agreement that will govern the combined company following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such consideration, the REFI Special Committee unanimously recommended that the REFI Board approve the New BDC Advisory Agreement, and the REFI Board unanimously approved the New BDC Advisory Agreement and directed that it be submitted to REFI Shareholders as the New BDC Advisory Agreement Proposal.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New BDC Advisory Agreement Proposal is described under “</w:t>
      </w:r>
      <w:r>
        <w:rPr>
          <w:rFonts w:ascii="Times New Roman;Times;serif" w:hAnsi="Times New Roman;Times;serif"/>
          <w:i/>
          <w:color w:val="000000"/>
          <w:sz w:val="20"/>
        </w:rPr>
        <w:t>REFI Proposal II — Approval of the New BDC Advisory Agreement Proposal</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7966x1_n14_112-fls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0" w:name="tFLS"/>
      <w:bookmarkEnd w:id="70"/>
      <w:r>
        <w:rPr>
          <w:rFonts w:ascii="Times New Roman;Times;serif" w:hAnsi="Times New Roman;Times;serif"/>
          <w:b/>
          <w:color w:val="000000"/>
          <w:sz w:val="20"/>
        </w:rPr>
        <w:t xml:space="preserve">SPECIAL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including the documents incorporated by reference herein, contains statements that constitute forward-looking statements, which relate to LIEN, REFI or, following the Merger, the combined company, regarding future events or the future performance or future financial condition of LIEN, REFI or, following the Merger, the combined company. The forward-looking statements may include statements as to: future operating results of LIEN, REFI or, following the Merger, the combined company and distribution projections; business prospects of LIEN, REFI or, following the Merger, the combined company and the prospects of their portfolio companies; and the impact of the investments that LIEN, REFI or, following the Merger, the combined company expect to make. Certain factors could cause actual results and conditions to differ materially from those projected, including the uncertainties associated with: </w:t>
      </w:r>
    </w:p>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parties to consummate the Merger on the expected timeline, or at all;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synergies and savings associated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to realize the anticipated benefits of the Merger, including the expected elimination of certain expenses and costs due to the Merger;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percentage of LIEN Shareholders and REFI Shareholders voting in favor of the proposals submitted for their approval; </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competing offers or acquisition proposals will be made;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Agreement’s limitations on the ability of LIEN and REFI to pursue alternatives to the Merger; </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vAlign w:val="center"/>
          </w:tcPr>
          <w:p>
            <w:pPr>
              <w:pStyle w:val="TableContents"/>
              <w:bidi w:val="0"/>
              <w:spacing w:before="0" w:after="0"/>
              <w:jc w:val="left"/>
              <w:rPr>
                <w:color w:val="000000"/>
              </w:rPr>
            </w:pPr>
            <w:r>
              <w:rPr>
                <w:color w:val="000000"/>
              </w:rPr>
              <w:t>•</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any or all of the various conditions to the consummation of the Merger may not be satisfied or waived; </w:t>
            </w:r>
          </w:p>
        </w:tc>
      </w:tr>
    </w:tbl>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diverting management’s attention from ongoing business operations; </w:t>
            </w:r>
          </w:p>
        </w:tc>
      </w:tr>
    </w:tbl>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company’s plans, expectations, objectives and intentions, as a result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that the announcement of the Merger may have on the trading price of LIEN Common Stock and REFI Common Stock;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potential termination of the Merger Agreement or action of REFI Shareholders with respect to any proposed merger;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operational uncertainties and contractual restrictions while the Merger is pending; </w:t>
            </w:r>
          </w:p>
        </w:tc>
      </w:tr>
    </w:tbl>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actions of LIEN Shareholders or REFI Shareholders with respect to any of the proposals submitted for their approval;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future operating results and distribution projections of LIEN, REFI or, following the Merger,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LIEN to reposition the portfolios of LIEN, REFI or, following the Merger, the combined company, and to implement LIEN’s future plans with respect to their businesses;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Chicago Atlantic and its affiliates to attract and retain highly talented professionals;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business prospects of LIEN, REFI or, following the Merger, the combined company and the prospects of their portfolio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the investments that LIEN, REFI or, following the Merger, the combined company expect to make and the competition for those investments;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conflicts of interest with LIEN Adviser, REFI Manager, and other affiliates of Chicago Atlantic;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portfolio companies of LIEN, REFI or, following the Merger, the combined company to achieve their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financings and investments and additional leverage that LIEN, REFI or, following the Merger, the combined company may seek to incur in the future;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adequacy of the cash resources and working capital of LIEN, REFI or, following the Merger, the combined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7966x1_n14_112-fls_pg2"/>
        <w:bookmarkEnd w:id="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timing of cash flows, if any, from the operations of the portfolio companies of LIEN, REFI or, following the Merger, the combined company; and </w:t>
            </w:r>
          </w:p>
        </w:tc>
      </w:tr>
    </w:tbl>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shareholder litigation in connection with the Merger may result in significant costs of defense and liability. </w:t>
            </w:r>
          </w:p>
        </w:tc>
      </w:tr>
    </w:tbl>
    <w:p>
      <w:pPr>
        <w:pStyle w:val="TextBody"/>
        <w:bidi w:val="0"/>
        <w:spacing w:before="120" w:after="283"/>
        <w:ind w:left="0" w:right="0" w:firstLine="400"/>
        <w:jc w:val="both"/>
        <w:rPr/>
      </w:pPr>
      <w:r>
        <w:rPr>
          <w:rFonts w:ascii="Times New Roman;Times;serif" w:hAnsi="Times New Roman;Times;serif"/>
          <w:color w:val="000000"/>
          <w:sz w:val="20"/>
        </w:rPr>
        <w:t>Such forward-looking statements may include statements preceded by, followed by or otherwise include the words such as “anticipates,” “believes,” “expects,” “seeks,” “plans,” “should,” “estimates,” “projects,” “may,” “might,” “will,” “would,” “could,” “can,” “continue,” “targets,” “outlook,” “potential,” “predicts,” “intends” and other variations of these words and similar expressions. The forward-looking statements contained in this joint proxy statement/prospectus involve risks and uncertainties. The actual results could differ materially from those implied or expressed in the forward-looking statements for any reason, including the factors set forth in “</w:t>
      </w:r>
      <w:r>
        <w:rPr>
          <w:rFonts w:ascii="Times New Roman;Times;serif" w:hAnsi="Times New Roman;Times;serif"/>
          <w:i/>
          <w:color w:val="000000"/>
          <w:sz w:val="20"/>
        </w:rPr>
        <w:t>Item 1A. Risk Factors</w:t>
      </w:r>
      <w:r>
        <w:rPr>
          <w:rFonts w:ascii="Times New Roman;Times;serif" w:hAnsi="Times New Roman;Times;serif"/>
          <w:color w:val="000000"/>
          <w:sz w:val="20"/>
        </w:rPr>
        <w:t xml:space="preserve">” in Part I of each of LIEN’s Annual Report on </w:t>
      </w:r>
      <w:hyperlink r:id="rId5">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and REFI’s Annual Report on </w:t>
      </w:r>
      <w:hyperlink r:id="rId6">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as such factors may be updated from time to time in their periodic filings with the SEC, and elsewhere contained or incorporated by reference in this joint proxy statement/prospectus.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factors that could cause actual results to differ materially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or potential disruptions in the operations of LIEN, REFI or, following the Merger, the combined company, the economy, financial markets or political environment;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elevated interest and inflation rates, ongoing supply chain and labor market disruptions, including those as a result of strikes, work stoppages or accidents, instability in the U.S. and international banking systems, uncertainties related to the U.S. presidential administration, and the risk of recession or a shutdown of government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associated with possible disruption in the operations of LIEN and REFI or the economy generally due to terrorism, war or other geopolitical conditions, including revolution, insurgency, terrorism or war, including those arising out of the ongoing war between Russia and Ukraine and the escalated conflict in the Middle-East, including the Israel-Hamas conflict, natural disasters or pandemics;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future changes in laws or regulations (including the interpretation of these laws and regulations by regulatory authorities) and conditions in LIEN’s and REFI’s operating areas, particularly, with respect to LIEN, maintaining its qualifications as a BDC or RIC and, with respect to REFI, maintaining its qualification as a REIT;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considerations that may be disclosed from time to time in the publicly disseminated documents and filings of LIEN, REFI or, following the Merger, the combined company.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included in this joint proxy statement/prospectus and documents incorporated by reference into this joint proxy statement/prospectus are based on information available to them on the applicable date of the relevant document, and they assume no obligation to update any such forward-looking statements. Actual results could differ materially from those anticipated in any forward-looking statements and future results could differ materially from historical performance. Although LIEN and REFI undertake no obligation to revise or update any forward-looking statements, whether as a result of new information, future events or otherwise, you are advised to consult any additional disclosures that they may make directly to you or through reports that LIEN and REFI in the future may file with the SEC, including annual reports on Form 10-K, quarterly reports on Form 10-Q and current reports on Form 8-K. This joint proxy statement/prospectus and documents incorporated by reference into this joint proxy statement/prospectus contain or may contain statistics and other data that have been obtained from or compiled from information made available by third-party service providers. These forward-looking statements apply only as of the date of this report. Moreover, neither LIEN nor REFI assumes any duty or undertakes to update the forward-looking statements. Because LIEN is regulated as a BDC under the 1940 Act, and because REFI will be regulated as a BDC under the 1940 Act from and after the BDC Election Time, forward-looking statements and projections contained in this joint proxy statement/prospectus made by LIEN, and forward-looking statements and projections made by REFI from and after the BDC Election Time, are not entitled to the safe harbor protection provided by Section 21E of the Exchange Act or Section 27A of the Securities Act, each of which by its terms is unavailable to statements made by an issuer that is an investment company (including a BDC). Forward-looking statements and projections made by REFI prior to the BDC Election Time are intended to qualify for the safe harbor provided by Section 21E of the Exchange Act and Section 27A of the Securities Act, subject to the conditions of those sections.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7966x1_n14_113-special_pg1"/>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3" w:name="tLSPM"/>
      <w:bookmarkEnd w:id="73"/>
      <w:r>
        <w:rPr>
          <w:rFonts w:ascii="Times New Roman;Times;serif" w:hAnsi="Times New Roman;Times;serif"/>
          <w:b/>
          <w:color w:val="000000"/>
          <w:sz w:val="20"/>
        </w:rPr>
        <w:t xml:space="preserve">THE LIEN SPECIAL MEETING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of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Meeting will be held virtually on [ ], 2026 at [ ], Eastern Time, at the following website: www.[ ].com.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will be sent to LIEN Shareholders of record as of [ ], 2026 on or about [ ], 2026.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LIEN Special Meeting, LIEN Shareholders will be asked to approve the Merger Stock Issuance Proposal and the Merger Agreement, including the Merger and related transactions.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After careful consideration, the LIEN Board, on the recommendation of the LIEN Special Committee, comprised solely of the LIEN Independent Directors, unanimously approved the Merger Stock Issuance Proposal and Merger Agreement, including the Merger and related transactions, and unanimously recommends that LIEN Shareholders vote “FOR” the Merger Stock Issuance Proposal and “FOR” the Merger Agreement, including the Merger and related transactions.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vote their shares at the LIEN Special Meeting only if they were a shareholder of record at the close of business on [ ], 2026. There were [ ] shares of the LIEN Common Stock outstanding on the LIEN Record Date. Each share of common stock is entitled to one vote.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and Adjournments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LIEN Special Meeting for any business to be conducted. The presence at the LIEN Special Meeting, virtually or by proxy, of shareholders entitled to cast a majority of votes entitled to be cast at the LIEN Special Meeting will constitute a quorum. Shares held by a broker or other nominee for which the nominee has not received voting instructions from the record holder and does not have discretionary authority to vote the shares on non-routine proposals are considered “broker non-votes” with respect to such proposals. The LIEN Proposals are non-routine matters, so no broker non-votes are expected.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met, or if there are otherwise insufficient votes at the time of the LIEN Special Meeting to approve the Merger Stock Issuance Proposal or the Merger Agreement, the LIEN Special Meeting may be adjourned to solicit additional proxies. Adjournment may be effected either (i) by approval of the LIEN Adjournment Proposal by the LIEN Shareholders or (ii) by the chairman of the LIEN Special Meeting pursuant to authority granted under the LIEN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LIEN Adjournment Proposal is approved, or if the chairman otherwise exercises the adjournment authority described above, the chairman of the LIEN Special Meeting shall have the power to conclude or adjourn the LIEN Special Meeting from time to time to a date not more than 120 days after the original record date without notice other than announcement at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LIEN Shareholder vote may be taken on any of the proposals in this joint proxy statement/prospectus prior to any such adjournment if there are sufficient votes for approval of such proposal. No proxy voted against the Merger Stock Issuance Proposal or the Merger Agreement will be voted in favor of the LIEN Adjournment Proposal.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Broker Non-Votes and Abstentions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held by a broker or other nominee for which the nominee has not received voting instructions from the record holder and does not have discretionary authority to vote the shares on non-routine proposals are considered “broker non-votes.” The LIEN Proposals are non-routine matters for LIEN, so no broker non-votes are expected. As a result, if a LIEN Shareholder holds shares in “street name” through a broker, bank or other nominee, such broker, bank or nominee will not be permitted to exercise voting discretion with respect to the LIEN Proposals. Abstentions will have the effect of a vote “against” the Merger Agreement, including the Merger and related transactions, because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7966x1_n14_113-special_pg2"/>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Merger Agreement requires the affirmative vote of at least a majority of the outstanding shares of LIEN Common Stock. However, abstentions will not be counted as votes cast for purposes of the separate majority-of-the-minority-shares-voted requirement. Abstentions will have no effect on the outcome of the Merger Stock Issuance Proposal.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LIEN Common Stock held by a holder of record as of the LIEN Record Date has one vote on each matter considered at the LIEN Special Meeting.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Stock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Stock Issuance Proposal requires the affirmative vote of a majority of the votes cast by holders of LIEN Common Stock at a meeting at which a quorum is present. Abstentions will have no effect on the outcome of the Merger Stock Issuance Proposal. The Merger Stock Issuance Proposal is a non-routine matter for LIEN, so no broker non-votes are expected. Proxies received will be voted “FOR” the Merger Stock Issuance Proposal, unless LIEN Shareholders designate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each REFI Shareholder will have the right to receive, for each share of REFI Common Stock, a number of shares of LIEN Common Stock equal to the Exchange Ratio. The number of shares of LIEN Common Stock to be received will be subject to adjustment if, between the Determination Date and the Merger Effective Time, the respective outstanding shares of LIEN Common Stock or REFI Common Stock have increased or decreased or changed into or been exchanged for a different number or kind of shares or securities, in each case, as a result of any reclassification, recapitalization, stock split, reverse stock split, split-up, combination or exchange of shares, or if a stock dividend or dividend payable in any other securities is declared with a record date within such period.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Including the Merger and Related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Agreement, including the Merger and related transactions, requires the affirmative vote of (A) at least a majority of the outstanding shares of LIEN Common Stock and (B) at least a majority of the shares of LIEN Common Stock voted at the LIEN Special Meeting held by LIEN Unaffiliated Shareholders. Abstentions will not count as affirmative votes cast and will therefore have the same effect as votes “against” the Merger Agreement, including the Merger and related transactions, insofar as approval requires the affirmative vote of at least a majority of the outstanding shares of LIEN Common Stock entitled to be cast at the LIEN Special Meeting. However, abstentions will not be counted as votes cast for purposes of the separate majority-of-the-minority-shares-voted requirement and, as a result, will have no effect on such voting requirement. Approval of the Merger Agreement, including the Merger and related transactions, is a non-routine matter for LIEN, so no broker non-votes are expected. Proxies received will be voted “FOR” the Merger Agreement, including the Merger and related transactions, unless LIEN Shareholders designate otherwise.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LIEN Record Date, LIEN’s officers and directors directly owned and were entitled to vote [35,024] shares of LIEN Common Stock, representing less than 1% of the outstanding shares of LIEN Common Stock on the LIEN Record Date. None of LIEN’s officers or directors has entered into any voting or support agreement relating to the Merger; however, LIEN Adviser, which beneficially owns approximately [2,887,204] shares of LIEN Common Stock, has entered into a Support Agreement and has agreed to vote its shares of LIEN Common Stock in favor of the LIEN Proposals.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encourages LIEN Shareholders to vote their shares, either by voting virtually at the LIEN Special Meeting or by voting by proxy, which means that LIEN Shareholders authorize someone else to vote their shares. Shares represented by duly executed proxies will be voted in accordance with the LIEN Shareholder’s instructions. If LIEN Shareholders execute a proxy without specifying their voting instructions, such LIEN Shareholders’ shares will be voted in accordance with the LIEN Board Recommendation. If any other business is brought before the LIEN Special Meeting, LIEN Shareholders’ shares will be voted at the LIEN Board’s discretion unless LIEN Shareholders specifically state otherwise on their proxies.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7966x1_n14_113-special_pg3"/>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revoke a proxy at any time before it is exercised by notifying LIEN’s Secretary in writing, by submitting a properly executed, later-dated proxy, or by voting virtually at the LIEN Special Meeting. Any LIEN Shareholder entitled to vote at the LIEN Special Meeting may attend the LIEN Special Meeting and vote virtually, whether or not such LIEN Shareholder has previously voted his or her shares via proxy or wishes to change a previous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LIEN Shareholder may vote virtually at the LIEN Special Meeting or by proxy in accordance with the instructions provided below. A LIEN Shareholder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internet</w:t>
            </w:r>
            <w:r>
              <w:rPr>
                <w:rFonts w:ascii="Times New Roman;Times;serif" w:hAnsi="Times New Roman;Times;serif"/>
                <w:color w:val="000000"/>
                <w:sz w:val="20"/>
              </w:rPr>
              <w:t xml:space="preserve">: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xml:space="preserve">: [ ] to reach a toll-free, automated touchtone voting line, or [ ] [Monday through Friday 9:00 a.m. until 10:00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You may vote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20[ ].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LIEN Special Meeting. </w:t>
      </w:r>
      <w:r>
        <w:rPr>
          <w:rFonts w:ascii="Times New Roman;Times;serif" w:hAnsi="Times New Roman;Times;serif"/>
          <w:b w:val="false"/>
          <w:color w:val="000000"/>
          <w:sz w:val="20"/>
        </w:rPr>
        <w:t xml:space="preserve">LIEN’s joint proxy statement/prospectus, LIEN’s Annual Report on Form 10-K for the year ended December 31, 2025, LIEN’s Quarterly Report on Form 10-Q for the quarter ended March 31, 2026, and the proxy card are available at www.proxyvote.com.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LIEN Special Meeting, by attending the LIEN Special Meeting and voting virtually, or by a notice, provided in writing and signed by the LIEN Shareholder, delivered to LIEN’s Secretary on any Business Day before the date of the LIEN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will bear the cost of preparing, printing and mailing this joint proxy statement/prospectus and the accompanying Notice of Special Meeting of Shareholders and proxy card. LIEN and REFI intend to use the services of [ ] to aid in the distribution and collection of proxy votes for an estimated fee of $[  ], plus reasonable out-of-pocket expenses. No additional compensation will be paid to directors, officers or employees for such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more information regarding expenses related to the Merger, see “</w:t>
      </w:r>
      <w:r>
        <w:rPr>
          <w:rFonts w:ascii="Times New Roman;Times;serif" w:hAnsi="Times New Roman;Times;serif"/>
          <w:i/>
          <w:color w:val="000000"/>
          <w:sz w:val="20"/>
        </w:rPr>
        <w:t>Questions and Answers about the Special Meetings and the Merger — Who is responsible for paying the expenses relating to completing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do not have the right to exercise appraisal rights with respect to any matter to be voted upon at the LIEN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7966x1_n14_113-special_pg4"/>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 w:name="tRSM"/>
      <w:bookmarkEnd w:id="77"/>
      <w:r>
        <w:rPr>
          <w:rFonts w:ascii="Times New Roman;Times;serif" w:hAnsi="Times New Roman;Times;serif"/>
          <w:b/>
          <w:color w:val="000000"/>
          <w:sz w:val="20"/>
        </w:rPr>
        <w:t xml:space="preserve">THE REFI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of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will be held virtually on [ ], 2026 at [ ], Eastern Time, at the following website: www.[ ].com.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will be sent to REFI Shareholders of record as of [ ], 2026 on or about [ ], 2026 .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REFI Special Meeting, REFI Shareholders will be asked to approve the BDC Election Matters and the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After careful consideration, on the recommendation of the REFI Special Committee, comprised solely of the REFI Independent Directors, the REFI Board unanimously approved the BDC Election Proposal, the New BDC Advisory Agreement Proposal, and the Merger Proposal, and unanimously recommends that REFI Shareholders vote “FOR” the BDC Election Proposal, “FOR” the New BDC Advisory Agreement Proposal and “FOR” the Merger Proposal.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their shares at the REFI Special Meeting only if they were a shareholder of record at the close of business on [ ], 2026. There were [ ] shares of REFI Common Stock outstanding on the REFI Record Date. Each share of REFI Common Stock is entitled to one vote.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and Adjournments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REFI Special Meeting for any business to be conducted. The presence at the REFI Special Meeting, virtually or by proxy, of shareholders entitled to cast a majority of votes entitled to be cast at the REFI Special Meeting will constitute a quorum. The REFI Special Meeting is expected to be conducted in two sessions to accommodate the sequencing required by the Merger Agreement and the 1940 Act. At the initial session, REFI Shareholders will be asked to vote on the BDC Election Matters and the REFI Adjournment Proposal. Following the vote on the BDC Election Matters, the REFI Special Meeting will be adjourned pursuant to the REFI Adjournment Proposal to permit (i) the filing and SEC acceptance of the BDC Election and (ii) the REFI Board’s consideration and adoption of the Post-BDC Election Approvals. The REFI Special Meeting will thereafter be reconvened for the vote on the Merger Proposal. In addition, if a quorum is not met, or if there are otherwise insufficient votes at the time of the REFI Special Meeting to approve the BDC Election Matters or the Merger Proposal, the REFI Special Meeting may be adjourned to solicit additional proxies. Adjournment may be effected either (i) by approval of the REFI Adjournment Proposal by the REFI Shareholders or (ii) by the chairman of the REFI Special Meeting pursuant to the authority granted under the REFI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REFI Adjournment Proposal is approved, or if the chairman otherwise exercises the adjournment authority described above, the chairman of the REFI Special Meeting shall have the power to conclude or adjourn the REFI Special Meeting from time to time to a date not more than 120 days after the original record date without notice other than announcement at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 vote may be taken on any of the proposals in this joint proxy statement/prospectus prior to any such adjournment if there are sufficient votes for approval of such proposal. No proxy voted against the BDC Election Matters or the Merger Proposal will be voted in favor of the REFI Adjournment Proposal.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Broker Non-Votes and Abstentions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held by a broker or other nominee for which the nominee has not received voting instructions from the record holder and does not have discretionary authority to vote the shares on non-routine proposals are considered “broker non-votes.” The REFI Proposals are non-routine matters for REFI, so no broker non-votes are expected. As a result, if a REFI Shareholder holds shares in “street name” through a broker, bank or other nominee, such broker, bank or nominee will not be permitted to exercise voting discretion with respect to the REFI Proposals. Abstentions will not count as affirmative votes cast and will therefore have the same effect as votes “against” the REFI Proposals.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7966x1_n14_113-special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REFI Common Stock held by a holder of record as of the REFI Record Date has one vote on each matter considered at the REFI Special Meeting.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BDC Election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BDC Election Proposal and the New BDC Advisory Agreement Proposal each requires the affirmative vote of the lesser of: (1) 67% of the shares of REFI Common Stock present at the REFI Special Meeting if the holders of more than 50% of the outstanding shares of REFI Common Stock are present or represented by proxy or (2) more than 50% of the outstanding shares of REFI Common Stock. Abstentions will have the effect of a vote “against” the BDC Election Proposal and the New BDC Advisory Proposal. The BDC Election Proposal and the New BDC Advisory Agreement Proposal are non-routine matters for REFI, so no broker non-votes are expected.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Proposal requires the affirmative vote of (A) at least a majority of the outstanding shares of REFI Common Stock and (B) at least a majority of the shares of REFI Common Stock cast at the REFI Special Meeting held by the Unaffiliated REFI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each REFI Shareholder will have the right to receive, for each share of REFI Common Stock, a number of shares of LIEN Common Stock equal to the Exchange Ratio. The number of shares of LIEN Common Stock to be received will be subject to adjustment if, between the Determination Date and the Merger Effective Time, the respective outstanding shares of LIEN Common Stock or REFI Common Stock have increased or decreased or changed into or been exchanged for a different number or kind of shares or securities, in each case, as a result of any reclassification, recapitalization, stock split, reverse stock split, split-up, combination or exchange of shares, or if a stock dividend or dividend payable in any other securities is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Abstentions will not count as affirmative votes cast and will therefore have the same effect as votes against the Merger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The Merger Proposal is a non-routine matter for REFI and so no broker non-votes are expected. Proxies received will be voted “FOR” the Merger Proposal, unless REFI Shareholders designate otherwise.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Sequence of Events at and Following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Meeting will be conducted in two stages to accommodate the sequencing required by the Merger Agreement and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initial session of the REFI Special Meeting, REFI Shareholders will be asked to vote on the BDC Election Proposal and the New BDC Advisory Agreement Proposal. Following receipt of the requisite votes at the REFI Special Meeting approving the BDC Election Proposal and New BDC Advisory Proposal, REFI will file its BDC Election. From and after the BDC Election Time, REFI will be subject to regulation as a BDC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vote on the BDC Election Proposal and New BDC Advisory Proposal, the REFI Special Meeting will be adjourned pursuant to the REFI Adjournment Proposal (or by the chairman of the REFI Special Meeting pursuant to the authority granted under the REFI Bylaws) to permit (i) the filing and SEC acceptance of the BDC Election and (ii) the REFI Board’s consideration of the Post-BDC Election Approvals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Promptly following the BDC Election Time, and as a condition to the completion of the Merger, the REFI Board (acting upon the recommendation of the REFI Special Committee) will be required to make the Post-BDC Election Approvals. Rule 17a-8 of the 1940 Act provides an exemption from the affiliated-transaction prohibitions of Section 17(a) of the 1940 Act for mergers between certain affiliated registered investment companies and BDCs, subject to specified board findings, including that participation in the Merger is in the best interests of REFI and that the interests of existing REFI Shareholders will not be diluted as a result of the Merger. REFI Shareholders are not being asked to vote on the Post-BDC Election Approvals; those approvals are the responsibility of the REFI Board (upon recommendation of the REFI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BDC Election Time and the REFI Board’s adoption of the Post-BDC Election Approvals, the REFI Special Meeting will be reconvened, and REFI Shareholders will be asked to vote on the Merger Proposal.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7966x1_n14_113-special_pg6"/>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date, time and location of the reconvened session of the REFI Special Meeting will be announced at the initial session and communicated to REFI Shareholders in accordance with the REFI Bylaws and applicable law. Proxies submitted for the initial session of the REFI Special Meeting will remain valid for the reconvened session, subject to each REFI Shareholder’s right to revoke or change its proxy prior to the vote on the Merger Proposal, as described under ‘Revocability of Proxies. See “</w:t>
      </w:r>
      <w:r>
        <w:rPr>
          <w:rFonts w:ascii="Times New Roman;Times;serif" w:hAnsi="Times New Roman;Times;serif"/>
          <w:i/>
          <w:color w:val="000000"/>
          <w:sz w:val="20"/>
        </w:rPr>
        <w:t>The Merger Agreement — Conditions to Closing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REFI Record Date, REFI’s officers and directors owned and were entitled to vote [ ] shares of REFI Common Stock, representing less than [ ] of the outstanding shares of REFI Common Stock on the REFI Record Date. None of REFI’s officers or directors has entered into any voting agreement relating to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encourages REFI Shareholders to vote their shares, either by voting virtually at the REFI Special Meeting or by voting by proxy, which means that REFI Shareholders authorize someone else to vote their shares. Shares represented by duly executed proxies will be voted in accordance with REFI Shareholders’ instructions. If REFI Shareholders execute a proxy without specifying their voting instructions, such REFI Shareholders’ shares will be voted in accordance with the REFI Board Recommendation. If any other business is brought before the REFI Special Meeting, REFI Shareholders’ shares will be voted at the REFI Board’s discretion unless REFI Shareholders specifically state otherwise on their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revoke a proxy at any time before it is exercised by notifying the REFI Secretary in writing, by submitting a properly executed, later-dated proxy, or by voting virtually at the REFI Special Meeting. Any REFI Shareholder entitled to vote at the REFI Special Meeting may attend the REFI Special Meeting and vote virtually, whether or not he or she has previously voted his or her shares via proxy or wishes to change a previous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 may vote virtually at the REFI Special Meeting or by proxy in accordance with the instructions provided below. A REFI Shareholder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each proposal. You will have an opportunity to review your directions and make any necessary changes before submitting your directions and terminating the telephone call or internet link.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internet</w:t>
            </w:r>
            <w:r>
              <w:rPr>
                <w:rFonts w:ascii="Times New Roman;Times;serif" w:hAnsi="Times New Roman;Times;serif"/>
                <w:color w:val="000000"/>
                <w:sz w:val="20"/>
              </w:rPr>
              <w:t xml:space="preserve">: www.[ ].com.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xml:space="preserve">: [ ] to reach a toll-free, automated touchtone voting line, or [ ] [Monday through Friday 9:00 a.m. until 10:00 p.m. Eastern Time] to reach a toll-free, live operator 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You may vote by following the directions and indicating your instructions on the 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20[ ].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REFI Special Meeting. </w:t>
      </w:r>
      <w:r>
        <w:rPr>
          <w:rFonts w:ascii="Times New Roman;Times;serif" w:hAnsi="Times New Roman;Times;serif"/>
          <w:b w:val="false"/>
          <w:color w:val="000000"/>
          <w:sz w:val="20"/>
        </w:rPr>
        <w:t xml:space="preserve">REFI’s joint proxy statement/prospectus, REFI’s Annual Report on Form 10-K for the year ended December 31, 2025, REFI’s Quarterly Report on Form 10-Q for the quarter ended March 31, 2026, and the proxy card are available at www.[ ].com.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card and returning it, by mail, in time to be received before the REFI Special Meeting, by attending the REFI Special Meeting and voting virtually, or by a notice, provided in writing and signed by the REFI Shareholder, delivered to the REFI Secretary on any Business Day before the date of the REFI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7966x1_n14_113-special_pg7"/>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will bear the cost of preparing, printing and mailing this joint proxy statement/prospectus and the accompanying Notice of Special Meeting of Shareholders and proxy card. REFI and LIEN intend to use the services of [ ] to aid in the distribution and collection of proxy votes for an estimated fee of $[ ], plus reasonable out-of-pocket expenses. No additional compensation will be paid to directors, officers or employees for such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more information regarding expenses related to the Merger, see “</w:t>
      </w:r>
      <w:r>
        <w:rPr>
          <w:rFonts w:ascii="Times New Roman;Times;serif" w:hAnsi="Times New Roman;Times;serif"/>
          <w:i/>
          <w:color w:val="000000"/>
          <w:sz w:val="20"/>
        </w:rPr>
        <w:t>Questions and Answers about the Special Meetings and the Merger — Who is responsible for paying the expenses relating to completing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do not have the right to exercise appraisal rights with respect to any matter to be voted upon at the REFI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7966x1_n14_114-captial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CAP"/>
      <w:bookmarkEnd w:id="82"/>
      <w:r>
        <w:rPr>
          <w:rFonts w:ascii="Times New Roman;Times;serif" w:hAnsi="Times New Roman;Times;serif"/>
          <w:b/>
          <w:color w:val="000000"/>
          <w:sz w:val="20"/>
        </w:rPr>
        <w:t xml:space="preserve">CAPITALIZATION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(1) LIEN’s and REFI’s actual capitalization as of March 31, 2026 and (2) LIEN’s capitalization as adjusted to reflect the effects of the Merger and REFI’s BDC Election. You should read this table together with LIEN’s and REFI’s consolidated financial statements incorporated by reference herein. Dollar amounts are in thousands, except share and per share data. </w:t>
      </w:r>
    </w:p>
    <w:tbl>
      <w:tblPr>
        <w:tblW w:w="10205" w:type="dxa"/>
        <w:jc w:val="left"/>
        <w:tblInd w:w="0" w:type="dxa"/>
        <w:tblLayout w:type="fixed"/>
        <w:tblCellMar>
          <w:top w:w="0" w:type="dxa"/>
          <w:left w:w="0" w:type="dxa"/>
          <w:bottom w:w="0" w:type="dxa"/>
          <w:right w:w="0" w:type="dxa"/>
        </w:tblCellMar>
      </w:tblPr>
      <w:tblGrid>
        <w:gridCol w:w="2736"/>
        <w:gridCol w:w="140"/>
        <w:gridCol w:w="140"/>
        <w:gridCol w:w="830"/>
        <w:gridCol w:w="140"/>
        <w:gridCol w:w="140"/>
        <w:gridCol w:w="993"/>
        <w:gridCol w:w="140"/>
        <w:gridCol w:w="140"/>
        <w:gridCol w:w="1149"/>
        <w:gridCol w:w="140"/>
        <w:gridCol w:w="140"/>
        <w:gridCol w:w="871"/>
        <w:gridCol w:w="140"/>
        <w:gridCol w:w="140"/>
        <w:gridCol w:w="1056"/>
        <w:gridCol w:w="140"/>
        <w:gridCol w:w="140"/>
        <w:gridCol w:w="890"/>
      </w:tblGrid>
      <w:tr>
        <w:trPr/>
        <w:tc>
          <w:tcPr>
            <w:tcW w:w="27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9" w:type="dxa"/>
            <w:gridSpan w:val="16"/>
            <w:tcBorders/>
            <w:vAlign w:val="center"/>
          </w:tcPr>
          <w:p>
            <w:pPr>
              <w:pStyle w:val="TableContents"/>
              <w:bidi w:val="0"/>
              <w:spacing w:before="0" w:after="0"/>
              <w:jc w:val="left"/>
              <w:rPr/>
            </w:pPr>
            <w:r>
              <w:rPr/>
              <w:t> </w:t>
            </w:r>
          </w:p>
        </w:tc>
      </w:tr>
      <w:tr>
        <w:trPr/>
        <w:tc>
          <w:tcPr>
            <w:tcW w:w="27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9" w:type="dxa"/>
            <w:gridSpan w:val="16"/>
            <w:tcBorders>
              <w:bottom w:val="single" w:sz="8" w:space="0" w:color="000000"/>
            </w:tcBorders>
            <w:tcMar>
              <w:bottom w:w="47" w:type="dxa"/>
            </w:tcMar>
            <w:vAlign w:val="center"/>
          </w:tcPr>
          <w:p>
            <w:pPr>
              <w:pStyle w:val="TableContents"/>
              <w:bidi w:val="0"/>
              <w:spacing w:lineRule="auto" w:line="240"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As of March 31, 2026(9) </w:t>
            </w:r>
          </w:p>
        </w:tc>
      </w:tr>
      <w:tr>
        <w:trPr/>
        <w:tc>
          <w:tcPr>
            <w:tcW w:w="27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9" w:type="dxa"/>
            <w:gridSpan w:val="16"/>
            <w:tcBorders/>
            <w:vAlign w:val="center"/>
          </w:tcPr>
          <w:p>
            <w:pPr>
              <w:pStyle w:val="TableContents"/>
              <w:bidi w:val="0"/>
              <w:spacing w:before="0" w:after="283"/>
              <w:jc w:val="center"/>
              <w:rPr>
                <w:rFonts w:ascii="Times New Roman;Times;serif" w:hAnsi="Times New Roman;Times;serif"/>
                <w:i/>
                <w:color w:val="000000"/>
                <w:sz w:val="18"/>
              </w:rPr>
            </w:pPr>
            <w:r>
              <w:rPr>
                <w:rFonts w:ascii="Times New Roman;Times;serif" w:hAnsi="Times New Roman;Times;serif"/>
                <w:i/>
                <w:color w:val="000000"/>
                <w:sz w:val="18"/>
              </w:rPr>
              <w:t>(unaudited, dollar amounts in thousands, except share and per share data)</w:t>
            </w:r>
            <w:r>
              <w:rPr>
                <w:rFonts w:ascii="Times New Roman;Times;serif" w:hAnsi="Times New Roman;Times;serif"/>
                <w:i/>
                <w:caps w:val="false"/>
                <w:smallCaps w:val="false"/>
                <w:color w:val="000000"/>
                <w:sz w:val="18"/>
              </w:rPr>
              <w:t xml:space="preserve"> </w:t>
            </w:r>
          </w:p>
        </w:tc>
      </w:tr>
      <w:tr>
        <w:trPr/>
        <w:tc>
          <w:tcPr>
            <w:tcW w:w="27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Actual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Actual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REFI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Adjustments –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REFI’s BDC </w:t>
            </w:r>
          </w:p>
          <w:p>
            <w:pPr>
              <w:pStyle w:val="TableContents"/>
              <w:bidi w:val="0"/>
              <w:spacing w:lineRule="auto" w:line="240" w:before="0" w:after="283"/>
              <w:jc w:val="center"/>
              <w:rPr>
                <w:rFonts w:ascii="Times New Roman;Times;serif" w:hAnsi="Times New Roman;Times;serif"/>
                <w:b/>
                <w:color w:val="000000"/>
                <w:sz w:val="18"/>
              </w:rPr>
            </w:pPr>
            <w:r>
              <w:rPr>
                <w:rFonts w:ascii="Times New Roman;Times;serif" w:hAnsi="Times New Roman;Times;serif"/>
                <w:b/>
                <w:color w:val="000000"/>
                <w:sz w:val="18"/>
              </w:rPr>
              <w:t>Election(1)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REFI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post BDC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Adjustments </w:t>
            </w:r>
          </w:p>
          <w:p>
            <w:pPr>
              <w:pStyle w:val="TableContents"/>
              <w:bidi w:val="0"/>
              <w:spacing w:before="0" w:after="283"/>
              <w:jc w:val="center"/>
              <w:rPr>
                <w:color w:val="000000"/>
              </w:rPr>
            </w:pPr>
            <w:r>
              <w:rPr>
                <w:color w:val="000000"/>
              </w:rPr>
              <w:t xml:space="preserve">– </w:t>
            </w:r>
            <w:r>
              <w:rPr>
                <w:rFonts w:ascii="Times New Roman;Times;serif" w:hAnsi="Times New Roman;Times;serif"/>
                <w:b/>
                <w:color w:val="000000"/>
                <w:sz w:val="18"/>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7"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Pro Forma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LIEN </w:t>
            </w:r>
          </w:p>
        </w:tc>
      </w:tr>
      <w:tr>
        <w:trPr/>
        <w:tc>
          <w:tcPr>
            <w:tcW w:w="2736" w:type="dxa"/>
            <w:tcBorders/>
            <w:shd w:fill="CCEEFF" w:val="clear"/>
            <w:vAlign w:val="center"/>
          </w:tcPr>
          <w:p>
            <w:pPr>
              <w:pStyle w:val="TableContents"/>
              <w:bidi w:val="0"/>
              <w:spacing w:before="0" w:after="283"/>
              <w:ind w:left="176" w:right="0" w:hanging="176"/>
              <w:jc w:val="left"/>
              <w:rPr>
                <w:rFonts w:ascii="Times New Roman;Times;serif" w:hAnsi="Times New Roman;Times;serif"/>
                <w:color w:val="000000"/>
                <w:sz w:val="18"/>
              </w:rPr>
            </w:pPr>
            <w:r>
              <w:rPr>
                <w:rFonts w:ascii="Times New Roman;Times;serif" w:hAnsi="Times New Roman;Times;serif"/>
                <w:color w:val="000000"/>
                <w:sz w:val="18"/>
              </w:rPr>
              <w:t>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27,856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27,856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lineRule="auto" w:line="240"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​3,350)</w:t>
            </w:r>
            <w:r>
              <w:rPr>
                <w:rFonts w:ascii="Times New Roman;Times;serif" w:hAnsi="Times New Roman;Times;serif"/>
                <w:color w:val="000000"/>
                <w:sz w:val="18"/>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​27,852 </w:t>
            </w:r>
          </w:p>
        </w:tc>
      </w:tr>
      <w:tr>
        <w:trPr/>
        <w:tc>
          <w:tcPr>
            <w:tcW w:w="273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Investments, at fair value(7)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363,967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400,557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lineRule="auto" w:line="240" w:before="0" w:after="283"/>
              <w:ind w:left="21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6,377</w:t>
            </w:r>
            <w:r>
              <w:rPr>
                <w:rFonts w:ascii="Times New Roman;Times;serif" w:hAnsi="Times New Roman;Times;serif"/>
                <w:color w:val="000000"/>
                <w:sz w:val="18"/>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406,934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8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770,900 </w:t>
            </w:r>
          </w:p>
        </w:tc>
      </w:tr>
      <w:tr>
        <w:trPr/>
        <w:tc>
          <w:tcPr>
            <w:tcW w:w="27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54,500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117,050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117,050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8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171,550 </w:t>
            </w:r>
          </w:p>
        </w:tc>
      </w:tr>
      <w:tr>
        <w:trPr/>
        <w:tc>
          <w:tcPr>
            <w:tcW w:w="2736" w:type="dxa"/>
            <w:tcBorders/>
            <w:vAlign w:val="center"/>
          </w:tcPr>
          <w:p>
            <w:pPr>
              <w:pStyle w:val="TableContents"/>
              <w:bidi w:val="0"/>
              <w:spacing w:before="0" w:after="283"/>
              <w:ind w:left="176" w:right="0" w:hanging="176"/>
              <w:jc w:val="left"/>
              <w:rPr>
                <w:rFonts w:ascii="Times New Roman;Times;serif" w:hAnsi="Times New Roman;Times;serif"/>
                <w:color w:val="000000"/>
                <w:sz w:val="18"/>
              </w:rPr>
            </w:pPr>
            <w:r>
              <w:rPr>
                <w:rFonts w:ascii="Times New Roman;Times;serif" w:hAnsi="Times New Roman;Times;serif"/>
                <w:color w:val="000000"/>
                <w:sz w:val="18"/>
              </w:rPr>
              <w:t>Unamortized Debt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ind w:left="2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lineRule="auto" w:line="240"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829</w:t>
            </w:r>
            <w:r>
              <w:rPr>
                <w:rFonts w:ascii="Times New Roman;Times;serif" w:hAnsi="Times New Roman;Times;serif"/>
                <w:color w:val="000000"/>
                <w:sz w:val="18"/>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851) </w:t>
            </w:r>
          </w:p>
        </w:tc>
      </w:tr>
      <w:tr>
        <w:trPr/>
        <w:tc>
          <w:tcPr>
            <w:tcW w:w="27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$304,184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$303,423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$5,536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$308,958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($​3,350</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 xml:space="preserve">$​609,793 </w:t>
            </w:r>
          </w:p>
        </w:tc>
      </w:tr>
      <w:tr>
        <w:trPr/>
        <w:tc>
          <w:tcPr>
            <w:tcW w:w="2736"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 Capitalization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$357,834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$419,644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ind w:left="196"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$425,180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83"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 xml:space="preserve">$​780,492 </w:t>
            </w:r>
          </w:p>
        </w:tc>
      </w:tr>
      <w:tr>
        <w:trPr/>
        <w:tc>
          <w:tcPr>
            <w:tcW w:w="2736" w:type="dxa"/>
            <w:tcBorders/>
            <w:shd w:fill="CCEEFF" w:val="clear"/>
            <w:vAlign w:val="center"/>
          </w:tcPr>
          <w:p>
            <w:pPr>
              <w:pStyle w:val="TableContents"/>
              <w:bidi w:val="0"/>
              <w:spacing w:before="0" w:after="283"/>
              <w:ind w:left="176" w:right="0" w:hanging="176"/>
              <w:jc w:val="left"/>
              <w:rPr>
                <w:rFonts w:ascii="Times New Roman;Times;serif" w:hAnsi="Times New Roman;Times;serif"/>
                <w:color w:val="000000"/>
                <w:sz w:val="18"/>
              </w:rPr>
            </w:pPr>
            <w:r>
              <w:rPr>
                <w:rFonts w:ascii="Times New Roman;Times;serif" w:hAnsi="Times New Roman;Times;serif"/>
                <w:color w:val="000000"/>
                <w:sz w:val="18"/>
              </w:rPr>
              <w:t>Number of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22,820,590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21,080,272</w:t>
            </w:r>
            <w:r>
              <w:rPr>
                <w:rFonts w:ascii="Times New Roman;Times;serif" w:hAnsi="Times New Roman;Times;serif"/>
                <w:color w:val="000000"/>
                <w:sz w:val="18"/>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18"/>
              </w:rPr>
            </w:pPr>
            <w:r>
              <w:rPr>
                <w:rFonts w:ascii="Times New Roman;Times;serif" w:hAnsi="Times New Roman;Times;serif"/>
                <w:color w:val="000000"/>
                <w:sz w:val="18"/>
              </w:rPr>
              <w:t>403,846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21,484,118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lineRule="auto" w:line="240" w:before="0" w:after="283"/>
              <w:ind w:left="83" w:right="0" w:hanging="0"/>
              <w:jc w:val="left"/>
              <w:rPr>
                <w:rFonts w:ascii="Times New Roman;Times;serif" w:hAnsi="Times New Roman;Times;serif"/>
                <w:color w:val="000000"/>
                <w:sz w:val="18"/>
              </w:rPr>
            </w:pPr>
            <w:r>
              <w:rPr>
                <w:rFonts w:ascii="Times New Roman;Times;serif" w:hAnsi="Times New Roman;Times;serif"/>
                <w:color w:val="000000"/>
                <w:sz w:val="18"/>
              </w:rPr>
              <w:t>1,824,464</w:t>
            </w:r>
            <w:r>
              <w:rPr>
                <w:rFonts w:ascii="Times New Roman;Times;serif" w:hAnsi="Times New Roman;Times;serif"/>
                <w:color w:val="000000"/>
                <w:sz w:val="18"/>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46,129,172</w:t>
            </w:r>
            <w:r>
              <w:rPr>
                <w:rFonts w:ascii="Times New Roman;Times;serif" w:hAnsi="Times New Roman;Times;serif"/>
                <w:color w:val="000000"/>
                <w:sz w:val="18"/>
              </w:rPr>
              <w:t xml:space="preserve"> </w:t>
            </w:r>
          </w:p>
        </w:tc>
      </w:tr>
      <w:tr>
        <w:trPr/>
        <w:tc>
          <w:tcPr>
            <w:tcW w:w="273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NAV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​13.22</w:t>
            </w:r>
            <w:r>
              <w:rPr>
                <w:rFonts w:ascii="Times New Roman;Times;serif" w:hAnsi="Times New Roman;Times;serif"/>
                <w:color w:val="000000"/>
                <w:sz w:val="18"/>
              </w:rPr>
              <w:t>(6)</w:t>
            </w:r>
          </w:p>
        </w:tc>
      </w:tr>
      <w:tr>
        <w:trPr/>
        <w:tc>
          <w:tcPr>
            <w:tcW w:w="27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REFI’s BDC Election, which includes a reversal of the $8.68 million current expected credit loss reserve (funded and unfunded portions), a $(3.43) million unrealized fair-value mark, and the vesting of all unvested restricted stock awards (an aggregate net increase of approximately $5.54 million to converted net assets).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Pro forma adjustment to cash reflects the impact of approximately $3.35 million of estimated transaction costs expected to be incurred by LIEN as of March 31, 2026. Transaction expenses of LIEN are capitalized, while transaction expenses of REFI are expensed as incurred in accordance with ASC 805.</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Adjustment relates to approximately $0.83 million of unamortized deferred debt issuance costs associated with REFI’s debt facilities that will be reversed when the acquired debt cost basis is measured at fair value.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Actual REFI column reflects REFI’s common shares outstanding as of March 31, 2026. The Pro Forma Adjustments column reflects an additional 403,846 shares, giving effect to the vesting of all unvested restricted stock awards, resulting in 21,484,118 fully diluted shares outstanding on a converted (BDC) basis.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Pro forma adjustment reflects the shares of LIEN Common Stock issued to REFI Shareholders, based on REFI’s net assets following REFI’s BDC Election divided by LIEN’s NAV per share as of March 31, 2026. The final Exchange Ratio will be determined in accordance with the Merger Agreement. The adjustment reflected in this column is the net increase in shares outstanding — the approximately 23.3 million shares of LIEN Common Stock issued to REFI Shareholders (at an implied conversion ratio of approximately 1.08x), less the approximately 21.5 million REFI shares presented in the Pro Forma REFI post BDC Election column, which are cancelled in the Merger. For purposes of calculating the Exchange Ratio, the Closing LIEN NAV was reduced by the LIEN transaction expenses described in (2), and the Closing REFI NAV was reduced by REFI's estimated transaction costs, net of the portion borne by REFI Manager, of approximately $1.69 million, representing approximately $3.69 million of transaction costs estimated as of March 31, 2026 to be incurred by REFI, less the approximately $2.0 million expected to be borne by REFI Manager.</w:t>
            </w:r>
          </w:p>
        </w:tc>
      </w:tr>
    </w:tbl>
    <w:tbl>
      <w:tblPr>
        <w:tblW w:w="9760" w:type="dxa"/>
        <w:jc w:val="left"/>
        <w:tblInd w:w="0" w:type="dxa"/>
        <w:tblLayout w:type="fixed"/>
        <w:tblCellMar>
          <w:top w:w="0" w:type="dxa"/>
          <w:left w:w="0" w:type="dxa"/>
          <w:bottom w:w="0" w:type="dxa"/>
          <w:right w:w="0" w:type="dxa"/>
        </w:tblCellMar>
      </w:tblPr>
      <w:tblGrid>
        <w:gridCol w:w="230"/>
        <w:gridCol w:w="95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decrease of $0.11 in Pro Forma LIEN NAV per common share is the result of the net impact of the estimated pro forma adjustments.</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LIEN, investments at fair value per LIEN’s Q1 2026 10-Q. For REFI, the Actual column presents loans held for investment at carrying value, net, per REFI’s Q1 2026 10-Q; the Pro Forma Adjustments — REFI’s BDC Election column converts these amounts to fair value (BDC basis).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$6.38 million cumulative pro forma adjustment to Investments, at fair value reflects the conversion of REFI’s portfolio of loans held for investment, currently measured at amortized cost as of March 31, 2026, to fair value in accordance with ASC 820. The cumulative adjustment is comprised of: (i) the reversal of approximately $8.68 million of current expected credit loss reserves on funded investments, (ii) the recording of approximately ($3.43) million of unrealized losses from mark-to-market fair valuations, and (iii) a reclassification of approximately $1.12 million relating to the fair value of warrants, currently presented by REFI in Other receivables and assets, net, to Investments, at fair value. Together with the corresponding $(1.12) million reduction in other receivables and assets, net (iii) these amounts equal the $5.54 million total net increase in net assets shown in the Pro Forma Adjustments — REFI’s BDC Election column (see Note 1).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table does not contemplate the impact of: (a) 229,764 restricted stock awards granted during the period from April 1, 2026 to July 1, 2026, and (b) the 4,306,754 shares of REFI Common Stock issued in connection with the Koach Transaction, which was completed on July 9,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7966x1_n14_115-merger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MER"/>
      <w:bookmarkEnd w:id="84"/>
      <w:r>
        <w:rPr>
          <w:rFonts w:ascii="Times New Roman;Times;serif" w:hAnsi="Times New Roman;Times;serif"/>
          <w:b/>
          <w:color w:val="000000"/>
          <w:sz w:val="20"/>
        </w:rPr>
        <w:t xml:space="preserve">THE MERGER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following discussion includes the material terms of the Merger and the principal terms of the Merger Agreement and is subject to, and is qualified in its entirety by reference to, the Merger Agreement, a copy of which is attached as </w:t>
      </w:r>
      <w:r>
        <w:rPr>
          <w:rFonts w:ascii="Times New Roman;Times;serif" w:hAnsi="Times New Roman;Times;serif"/>
          <w:b/>
          <w:i/>
          <w:color w:val="000000"/>
          <w:sz w:val="20"/>
        </w:rPr>
        <w:t>Annex A</w:t>
      </w:r>
      <w:r>
        <w:rPr>
          <w:rFonts w:ascii="Times New Roman;Times;serif" w:hAnsi="Times New Roman;Times;serif"/>
          <w:b/>
          <w:color w:val="000000"/>
          <w:sz w:val="20"/>
        </w:rPr>
        <w:t xml:space="preserve"> to this joint proxy statement/prospectus.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Description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at the Merger Effective Time, REFI will merge with and into LIEN in accordance with the MGCL, with LIEN as the surviving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each REFI Shareholder will be entitled to receive shares of LIEN Common Stock equal to the Exchange Ratio for each share of REFI Common Stock. The number of shares of LIEN Common Stock to be received will be subject to adjustment only if, between the Determination Date and the Merger Effective Time, the respective outstanding shares of LIEN Common Stock or REFI Common Stock have increased or decreased or changed into or been exchanged for a different number or kind of shares or securities, in each case, as a result of any reclassification, recapitalization, stock split, reverse stock split, split-up, combination or exchange of shares, or if a stock dividend or dividend payable in any other securities is declared with a record date within such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the Exchange Ratio will be determined as of the Determination Date prior to the Merger Effective Date and will be equal to the ratio of the Closing REFI NAV to the Closing LIEN NAV, rounded to the nearest four decimal places.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LIEN Common Stock will be issued, and holders of REFI Common Stock will receive cash in lieu of fractional shares.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Merger, LIEN intends to continue its operations as conducted before the Merger.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and REFI’s management regularly review REFI’s business, operations, financial performance, competitive position and prospects, as well as potential strategic alternatives to enhance shareholder value. The LIEN Board and LIEN’s management similarly regularly review LIEN’s business, operations, financial performance, competitive position and prospects, as well as potential strategic alternatives to enhance shareholder value. As part of these respective reviews, the REFI Board and REFI’s management and the LIEN Board and LIEN’s management have considered, as applicable, each company’s investment strategy, scale relative to other publicly traded specialty finance vehicles, access to leverage and investor capital, and the implications of REFI’s election to be taxed as a REIT and LIEN’s status as a BDC.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are each managed or advised by affiliates of the Chicago Atlantic platform. In parallel with the respective ongoing strategic reviews conducted by the REFI Board and REFI’s management and the LIEN Board and LIEN’s management, senior management of REFI Manager and LIEN Adviser, along with other members of the broader Chicago Atlantic platform, evaluated potential strategic opportunities for each of REFI and LIEN, including means of achieving increased scale, broader access to financing markets, expanded analyst coverage and a wider range of investment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8, 2026, the LIEN Board held a special meeting by video conference, attended by all of the directors, by members of LIEN senior management and LIEN Adviser and by representatives of Eversheds Sutherland, LIEN’s outside legal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Mahajan, Secretary and Co-Chief Investment Officer of LIEN, presented to the LIEN Board information regarding a potential transaction that would combine REFI’s and LIEN’s operations into a single entity. Mr. Mahajan described the strategic rationale for such a transaction and the expected financial benefits of combining the two companies, including the potential benefits of increased scale, greater access to financing options and analyst coverage, enhanced operational and cost efficiencies and the ability of the combined company to pursue investment opportunities under a single broader investment mandate.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Mahajan also discussed the rationale for structuring such a transaction so that LIEN would be the surviving entity. Mr. Mahajan explained that, as a BDC, LIEN is not subject to the same investment limitations applicable to REFI as a REIT, including limitations requiring that REFI’s investments be predominantly collateralized by real estate in order to maintain REIT qualification. Mr. Mahajan noted that LIEN’s status as the surviving entity would provide the combined company with greater flexibility to pursue investment opportunities that may not satisfy the collateral-related limitations applicable to a REIT, while maintaining LIEN’s existing investment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7966x1_n14_115-merger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Mahajan then described generally a proposed structure for a merger and outlined the approvals that would be required. Mr. Mahajan noted that because LIEN and REFI are affiliates, and because LIEN is a BDC subject to regulation under the 1940 Act, the contemplated Merger would be structured to comply with the 1940 Act, including Rule 17a-8 thereunder. Members of LIEN’s senior management and representatives of Eversheds Sutherland advised the LIEN Independent Directors that they were not aware of any directly comparable precedent and that the Merger, involving the combination of a REIT that would convert to a BDC as part of the Merger with an existing BDC, was novel, and would need to be structured such that the safe harbor afforded by Rule 17a-8 was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discussed whether, in light of the affiliated nature of the Merger and LIEN’s status as a BDC, it would be advisable for the LIEN Board to establish a special committee comprised solely of LIEN Independent Directors to assess the Merger on behalf of LIEN and the LIEN Shareholders. A discussion ensued, during which it was noted that the use of a special committee in transactions involving potential conflicts of interest is a common governance practice that can help ensure that the interests of a company and its shareholders are appropriately represented throughout the transaction process. REFI and LIEN are affiliates, as REFI is managed by an affiliate of LIEN Adviser and REFI and LIEN share certain members of senior management. In addition, although Rule 17a-8 only requires that a merger between affiliated entities be approved by the LIEN Independent Directors, the structure of a special committee could have the added benefit of allowing the special committee to independently perform its own analysis, negotiate the deal terms, consult with counsel, and engage an outside financial advisor. LIEN Adviser advised the LIEN Board that it would proceed with the Merger only if such special committee determined that the Merger was fair to, and in the best interests of, LIEN Shareholders and recommended that the full LIEN Board approve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LIEN Board, acting pursuant to Section 2-411 of the MGCL and Section 1 of Article IV of the LIEN Bylaws, on January 8, 2026 established the LIEN Special Committee consisting solely of independent and disinterested directors not affiliated with LIEN Adviser, comprising Michael Chorske, Americo Da Corte, Supurna VedBrat, Tracey Brophy Warson and Patrick McCauley (who resigned from the LIEN Board and the LIEN Special Committee on April 10, 2026, to pursue other opportunities), each of whom is, or in the case of Mr. McCauley was, a LIEN Independent Director. Mr. Chorske was appointed as Chairman of the LIEN Special Committee. The LIEN Board delegated to the LIEN Special Committee the authority to analyze and evaluate the Merger, determine whether the Merger is fair to and in the best interests of LIEN and its shareholders, and determine whether to recommend that the full LIEN Board approve the Merger and any agreements or arrangements proposed to be entered into by LIEN, directly or indirectly, in connection with or relating to the Merger. The LIEN Board further provided that LIEN would not enter into, and the LIEN Board would not approve, the Merger or any related agreements or arrangements unless the LIEN Special Committee had first determined that the Merger was fair to and in the best interests of the LIEN Shareholders and recommended approval by the full LIEN Board and that the requirements of Rule 17a-8 were otherwise satisfied. The LIEN Board also provided that the LIEN Special Committee was under no obligation to follow any particular process on any particular timeframe, to take any particular action with respect to the Merger, or to recommend the Merger, and that the LIEN Special Committee could determine that it was in the best interests of LIEN and the LIEN Shareholders not to proceed with, participate in, or take any action with respect to the Merger. The LIEN Board also authorized the LIEN Special Committee to select and retain, in its sole discretion and at LIEN’s expense, such legal, investment banking, accounting, appraisal and other advisors and consultants as the LIEN Special Committee determined to be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formation of the LIEN Special Committee, the LIEN Independent Directors met in executive session and, given Eversheds Sutherland’s familiarity with LIEN, the Rule 17a-8 process and the potential Merger, requested that Eversheds Sutherland be retained to represent the LIEN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 2026, the LIEN Special Committee held its organizational meeting by video conference, attended by all of the LIEN Special Committee members and by representatives of Eversheds Sutherland. At the meeting, the LIEN Special Committee reviewed its mandate, adopted guidelines and procedures governing its work, discussed the independence of its members and unanimously approved the compensation of its members for their service on the LIEN Special Committee. The LIEN Special Committee also discussed potential nationally recognized investment banking firms to act as the LIEN Special Committee’s financial advisor in connection with the Merger, including KBW. In evaluating these firms, the LIEN Special Committee members considered, among other things, each firm’s experience advising special committees in related party transactions, experience in the cannabis industry and the BDC sector, qualifications, proposed fees and prior relationships with LIEN, REFI, LIEN Adviser and REFI Manager. The LIEN Special Committee indicated a preference for KBW, given its experience advising a special committee of the LIEN Board in connection with a prior transaction, its reputation in the BDC industry and its familiarity with LIEN.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7966x1_n14_115-merger_pg3"/>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LIEN Board held a special meeting by video conference, attended by all of the directors, a representative of LIEN’s senior management and LIEN Adviser and representatives of Eversheds Sutherland. At the meeting, the LIEN Board discussed the potential engagement of KBW as financial advisor to the LIEN Special Committee in connection with the Merger. Following negotiation, KBW was engaged as the LIEN Special Committee’s financial advisor in March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4, 2026, the REFI Board held a special meeting by video conference, attended by all of the directors other than Mr. John Mazarakis, by members of REFI senior management and REFI Manager and by a representative of Eversheds Sutherland, REFI’s outside legal counsel on securities law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Peter Sack, Co-Chief Executive Officer of REFI, presented to the REFI Board information regarding the potential Merger. Mr. Sack described the strategic rationale for the potential Merger, including the increased scale of the combined company, greater access to financing options and analyst coverage, the ability to consider investment opportunities not constrained by REFI’s continued qualification as a REIT, and the cost efficiencies that could be achieved by combining the two entities and their related platforms. Mr. Sack also noted that, although REFI presents its portfolio in its periodic reports by calculating reserves for expected credit losses while LIEN fair values its portfolio investments, REFI is already required to fair value its investments in connection with its compliance with REIT requirements, such that the fair valuation framework applicable to a BDC following the closing of the Merger could be implemented without significant incremental time or effort.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Independent Directors then engaged in a discussion with REFI’s senior management regarding the potential Merger. In response to a question from the REFI Independent Directors as to why LIEN, rather than REFI, would be the surviving entity, Mr. Sack explained that LIEN has a broader investment mandate, while REFI’s investment strategy is limited by the requirement that its investments be predominantly collateralized by real estate in order to maintain REIT qualification. The REFI Independent Directors also asked whether REFI’s senior management had considered a merger transaction with an unaffiliated mortgage REIT. Mr. Sack discussed the difficulties associated with a public mortgage REIT taking on a portfolio of loans with a cannabis focus. In response to a further question regarding non-cannabis loans originated by LIEN and other Chicago Atlantic entities, Mr. Anthony Cappell, Co-Chief Executive Officer of REFI, indicated that the Chicago Atlantic platform had been originating loans to non-cannabis borrowers with risk-and-return profiles similar to those of the loans held by REFI, and that REFI had not pursued those opportunities because of the REIT qualification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Sack then described generally a proposed structure for the potential Merger and the approvals that would be required, including approvals of the REFI Board and REFI Shareholders, and the process required to close the transaction in light of LIEN’s status as a BDC subject to regulation under the 1940 Act. Mr. Sack also noted that, in order to address the potential conflicts of interest associated with an affiliated transaction of this nature, the REFI Board may wish to consider forming a special committee composed solely of independent and disinterested directors to consider the terms of the Merger, independently perform its own analysis, negotiate the deal terms, consult with counsel, and engage an independent financial advisor to evaluate the fairness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discussion ensued regarding the use of a special committee in transactions involving potential conflicts of interest, and it was noted that the use of a special committee is a common governance practice that can help to ensure that the interests of a company and its shareholders are appropriately represented throughout the transaction process. Given that LIEN is advised by LIEN Adviser, an affiliate of REFI Manager, and REFI and LIEN share certain members of senior management, it was determined that appointment of a special committee composed solely of independent directors was advisable in the circumstances. REFI Manager advised the REFI Board that it would proceed with the Merger only if such special committee determined that the Merger was fair to, and in the best interests of, REFI Shareholders and recommended that the full REFI Board approve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Independent Directors further discussed their fiduciary duties in connection with the Merger and the advisability of retaining separate legal counsel in the circumstances, and it was determined that separate legal counsel for the special committee would be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REFI Board, acting pursuant to Section 2-411 of the MGCL and Section 1 of Article IV of the REFI Bylaws, on March 4, 2026 established the REFI Special Committee consisting solely of independent and disinterested directors not affiliated with REFI Manager, comprising Dr. Jason Papastavrou, Brandon Konigsberg, Elizabeth Stavola and Michael Steiner (who resigned from the REFI Board and the REFI Special Committee on April 27, 2026 due to limitations on his time availability for service), each of whom is, or in the case of Mr. Steiner was, an independent director of REFI. The REFI Board delegated to the REFI Special Committee the authority to analyze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7966x1_n14_115-merger_pg4"/>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evaluate the Merger, determine whether the Merger is fair to and in the best interests of the REFI Shareholders, and determine whether to recommend that the full REFI Board approve the Merger and any agreements or arrangements proposed to be entered into by REFI, directly or indirectly, in connection with or relating to the Merger. The REFI Board further provided that REFI would not enter into, and the REFI Board would not approve, the Merger or any related agreements or arrangements unless the REFI Special Committee had first determined that the Merger was fair to and in the best interests of the REFI Shareholders and recommended approval by the full REFI Board. The REFI Board also provided that the REFI Special Committee was under no obligation to follow any particular process on any particular timeframe, to take any particular action with respect to the Merger, or to recommend the Merger, and that the REFI Special Committee could determine that it was in the best interests of REFI and its shareholders not to proceed with, participate in, or take any action with respect to the Merger. The REFI Board also authorized the REFI Special Committee to select and retain, in its sole discretion and at REFI’s expense, such legal, investment banking, accounting, appraisal and other advisors and consultants as the REFI Special Committee determined to be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formation of the REFI Special Committee, the REFI Independent Directors met in executive session.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the REFI Board held a regular meeting at which the REFI Board reviewed, among other matters, recent macroeconomic and regulatory developments relevant to REFI’s business, including the federal regulatory environment for cannabis, the executive order directing further consideration of the rescheduling of cannabis under the Controlled Substances Act, ongoing developments under the Farm Bill, and recent inflation, interest rate and tariff developments. The REFI Board considered the implications of these developments for REFI’s strategic positioning and received an update on the status of the Merger, including that the REFI Special Committee was in the process of evaluating and engaging outside legal and financial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at a regular meeting of the REFI Board, the REFI Board affirmatively determined that each of Dr. Papastavrou, Messrs. Konigsberg and Steiner, and Ms. Stavola was independent under applicable NASDAQ listing rules and free of relationships that would impair the exercise of independent judgment in connection with the REFI Special Committee’s mandate. The REFI Board formalized the scope of the REFI Special Committee’s mandate to authorize the REFI Special Committee, in addition to its prior charge to evaluate the Merger, to explore, evaluate and consider potential strategic alternatives available to REFI, including mergers, acquisitions, asset sales, financings, recapitalizations and other strategic transactions, to negotiate the terms and conditions of any such transaction and to make recommendations to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establishment of the REFI Special Committee, members of the REFI Special Committee interviewed multiple law firms to serve as independent legal counsel to the REFI Special Committee, evaluating each firm’s experience advising special committees in related party transactions, experience advising investment companies and companies operating in the cannabis sector, qualifications and independence from REFI, LIEN, REFI Manager and LIEN Adviser. Based on these interviews, the REFI Special Committee members determined to retain Nixon Peabody to serve as independent legal counsel to the REFI Special Committee. Members of the REFI Special Committee also interviewed multiple nationally recognized investment banking firms to serve as the outside financial advisor to the REFI Special Committee, including Oppenheimer. In evaluating these firms, the REFI Special Committee members considered, among other things, each firm’s experience advising special committees in related party transactions, experience in the cannabis industry and the BDC sector, qualifications, proposed fees and independence from REFI, LIEN, REFI Manager and LIEN Adviser. Following this process, the REFI Special Committee members determined to recommend that the REFI Special Committee engage Oppenheimer as outside financial advisor to the REFI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after considering Eversheds Sutherland’s relevant experience and potential conflicts, LIEN and the LIEN Special Committee executed the engagement letter with Eversheds Sutherland for its service as legal counsel to the LIEN Special Committee in connection with the LIEN Special Committee’s review and evaluation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Merger had been discussed conceptually among the parties, the specific terms thereof were formally proposed on March 30, 2026 in a letter to the REFI Board from Scott Gordon, Executive Chairman and Co-Chief Investment Officer of LIEN, written on behalf of LIEN, expressing LIEN’s interest in exploring the Merger with REFI. The letter advised that, in light of the affiliated relationship between the parties, the LIEN Board had established the LIEN Special Committee composed solely of LIEN Independent Directors, which would be responsible for evaluating, negotiating and, if appropriate, recommending the terms of any such transaction, with the assistance of legal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7966x1_n14_115-merger_pg5"/>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advisors. The letter noted LIEN’s view that the Merger may present an opportunity to enhance scale and create long-term value for the shareholders of both companies and stated that the letter was intended as a preliminary expression of interest and did not constitute a binding commitment or obligation. The REFI Board referred the letter to the REFI Special Committee for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Mr. McCauley resigned from the LIEN Board and the LIEN Special Committee in order to pursue other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Eversheds Sutherland delivered an initial draft of the Merger Agreement to the LIEN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Mr. Steiner resigned from the REFI Board and the REFI Special Committee due to limitations on his time availability for service to the REFI Special Committee. For such reason, he also did not stand for reelection to the REFI Board at REFI’s annual meeting of shareholders held on June 11,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30, 2026, the REFI Special Committee held its organizational meeting by video conference. At the meeting, the REFI Special Committee reviewed its mandate, adopted guidelines and procedures governing its work, appointed Dr. Papastavrou as Chairman of the REFI Special Committee and discussed the independence of its members. Nixon Peabody, independent legal counsel to the REFI Special Committee, reviewed legal considerations applicable to the REFI Special Committee’s review of potential strategic alternatives. Following such review and discussion, and after considering Nixon Peabody’s qualifications and experience representing special committees and boards of directors in transactions involving related parties and potential conflicts of interest, the qualifications of the individual attorneys expected to advise the REFI Special Committee, and its independence from REFI, LIEN, REFI Manager and LIEN Adviser, the REFI Special Committee determined to appoint Nixon Peabody to serve as independent legal counsel to the REFI Special Committee. Following discussion, the REFI Special Committee ratified the engagement of Nixon Peabody and approved the engagement of Oppenheimer, after considering Oppenheimer’s relevant experience and potential conflicts.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4, 2026, the LIEN Special Committee met by video conference with representatives of Eversheds Sutherland and KBW in attendance to discuss the draft Merger Agreement and related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5, 2026, Eversheds Sutherland delivered to the LIEN Special Committee a revised draft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5, 2026, Eversheds Sutherland delivered to Nixon Peabody a draft of the Merger Agreement, which Nixon Peabody shared with the REFI Special Committee. The REFI Special Committee met by video conference on May 6, 2026 to discuss the draft Merger Agreement and related matters. The REFI Special Committee also discussed the basic economic terms reflected in the draft Merger Agreement, including the proposed use of a NAV-based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12, 2026, the LIEN Board held a regular meeting at which the LIEN Board reviewed, among other matters, recent macroeconomic and regulatory developments relevant to LIEN’s business, including the federal regulatory environment for cannabis, the executive order directing further consideration of the rescheduling of cannabis under the Controlled Substances Act, and recent inflation, interest rate and tariff developments. The LIEN Board considered the implications of these developments for LIEN’s strategic positioning and received an update on the status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14 and May 22, 2026, the REFI Special Committee met with representatives of Nixon Peabody and Oppenheimer to review the Merger, potential alternatives available to REFI and key transaction issues. At such meetings, the REFI Special Committee discussed, among other things, the potential alternatives available to REFI, including remaining a standalone company, pursuing other strategic transactions including a merger with a non-affiliate, pursuing a wind-down or considering a transaction with LIEN. Representatives of Oppenheimer reviewed with the REFI Special Committee preliminary discussion materials addressing, among other things, REFI’s and LIEN’s respective fee structures, valuation methodology considerations, potential tax-related distributions, dividend policies and governance considerations. The REFI Special Committee also discussed key transaction issues, including transaction structure, valuation methodology, management fee considerations, expense allocation, shareholder approval requirements, deal protection provisions, and indemnification and insurance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7966x1_n14_115-merger_pg6"/>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this period, the REFI Special Committee and its advisors requested and reviewed information from REFI and LIEN and their respective representatives regarding REFI’s and LIEN’s portfolios, valuation methodologies, financing arrangements, management fee structures, tax considerations and other matters relevant to the REFI Special Committee’s evaluation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15, 2026, representatives of Nixon Peabody and Eversheds Sutherland held a video conference to discuss the Merger and the draft Merger Agreement. During the video conference, the parties discussed, among other issues, the structure of the Merger, the draft Merger Agreement provisions regarding financing for the post-Merger combined company, tax matters, and governmental consents and approvals that might be applicable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26, 2026, representatives of Nixon Peabody and Eversheds Sutherland held a video conference to discuss the structure of the Merger, including the intended qualification of the Merger as a reorganization under Section 368(a)(1)(A) of the Code, REFI’s pre-Merger Tax Dividend to eliminate REFI’s accumulated earnings and profits and reduce REFI’s REIT taxable income, REFI’s continued qualification as a REIT for federal tax purposes through the Merger Effective Time, LIEN’s continued qualification as a RIC and a potential pre-Merger distribution by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31, 2026, Nixon Peabody circulated a revised draft of the Merger Agreement to Eversheds Sutherland. The revised draft introduced a single-meeting structure for REFI Shareholder approvals, providing for a short adjournment of the REFI Special Meeting between the BDC Election approval vote and the Merger Proposal approval vote, with the BDC Election to be effected during the adjournment, in order to avoid the time delay, expense and execution risk that would be associated with two separate shareholder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 2026, Eversheds Sutherland shared the revised draft of the Merger Agreement with the LIEN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representatives of Nixon Peabody and Eversheds Sutherland held a video conference to further discuss the single-meeting-with-adjournment approach to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the LIEN Special Committee met with representatives of Eversheds Sutherland and KBW also in attendance to discuss the revised draft of the Merger Agreement, including the single-meeting-with-adjournment approach to the REFI Special Meeting and the potential inclusion of a stock repurchase plan in the Merger Agreement. KBW provided the LIEN Special Committee with a preliminary overview of financial aspects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representatives of Eversheds Sutherland and Nixon Peabody discussed matters relating to the Hart-Scott-Rodino Antitrust Improvements Act of 1976, as amended, including the nature of the potential transaction, the nature of the assets of LIEN and REFI and the various exemptions from the filing requirements of the Hart-Scott-Rodino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3, 2026, the REFI Special Committee met with representatives of Oppenheimer to further consider strategic alternatives available to REFI and supplemental information regarding the Merger. Oppenheimer reviewed discussion materials addressing, among other things, five principal alternatives: maintaining the status quo, changing REFI’s strategy or structure, conducting an orderly portfolio run-off, pursuing a non-affiliated merger and pursuing an affiliated merger, including the Merger with LIEN. Oppenheimer reviewed potential advantages, disadvantages and other relevant considerations associated with each alternative, including REFI’s current trading price, dividend profile, access to capital, cannabis concentration, transaction execution risk, management fees and the potential benefits of increased scale and diversification in a transaction with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considered that each alternative involved different potential benefits and risks, including execution risk, timing, potential transaction costs and potential impact on shareholder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also reviewed preliminary illustrative valuation analyses for certain alternatives, which were based on management projections and other assumptions. Oppenheimer reviewed the termination provisions of the REFI Management Agreement, including a preliminary estimate of the termination fee payable under certain circumstances. Nixon Peabody noted that the draft Merger Agreement and the ongoing negotiations contemplated that REFI would not bear a termination fee under the REFI Management Agreement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4, 2026, KBW shared with the LIEN Special Committee estimates and other information from LIEN regarding potential cost efficiencies expected by LIEN to result from the Merger as well as an underwriting memorandum from REFI regarding the Koach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7966x1_n14_115-merger_pg7"/>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REFI Special Committee met with representatives of Nixon Peabody and Oppenheimer to discuss supplemental information regarding the Merger. Oppenheimer reviewed differences between REFI’s book value methodology and LIEN’s NAV methodology and discussed preliminary adjustments intended to place REFI and LIEN on a comparable valuation basis for purposes of calculating the Exchange Ratio. Oppenheimer also reviewed an illustrative comparison of the management fees REFI had actually paid under its existing REIT management fee structure over a historical period to the management fees REFI would have paid over the same period had the BDC fee structure applicable to LIEN instead been in effect, and discussed the potential impact of the resulting fee differential on REFI Shareholders. The REFI Special Committee viewed the management fee differential as an area of further discussion in its evaluation of the Merger and directed Oppenheimer and Nixon Peabody to continue evaluating potential alternatives.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Eversheds Sutherland shared an updated draft of the Merger Agreement with the LIEN Special Committee, the LIEN Board and Nixon Peabody, which Nixon Peabody shared with the REFI Special Committee and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LIEN Special Committee met with representatives of Eversheds Sutherland and KBW also in attendance to discuss the updated draft of the Merger Agreement and related matters, including the tax treatment of REFI, the vote of LIEN Shareholders required to approve the Merger Agreement, the treatment of REFI’s outstanding indebtedness and the plan for repayment or assumption of such indebtedness in connection with the Merger. Following discussion, the LIEN Special Committee determined that, before the LIEN Special Committee takes a vote on whether to approve the Merger Agreement, REFI should speak with the lenders under the REFI Revolving Credit Facility and the holders of REFI Unsecured Notes regarding the Merger. The LIEN Special Committee also indicated its intention to provide a list of questions to LIEN’s senior management regarding the outstanding indebtedness of LIEN and REFI and the anticipated indebtedness of the proposed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6, 2026, Nixon Peabody shared with the REFI Special Committee, Oppenheimer and Eversheds Sutherland a draft of Exhibit A to the draft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7, 2026, the LIEN Special Committee shared with Eversheds Sutherland a list of questions to be provided to LIEN’s senior management regarding the outstanding indebtedness of LIEN and REFI and the anticipated indebtedness of the proposed combined company. Eversheds Sutherland shared the list of questions with LIEN’s senior management on June 8, 2026. Later that day, LIEN’s senior management provided preliminary responses to Eversheds Sutherland, which Eversheds Sutherland then shared with the LIEN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June 2 and June 10, 2026, representatives of Nixon Peabody and Eversheds Sutherland held additional video conferences regarding issues pertaining to the Merger Agreement, the tax treatment applicable to the Merger, post-Merger financing needs of the combined company and related matters. Issues under discussion relating to the Merger Agreement included the Exchange Ratio calculation methodology, adjustments and procedures, the deal protection provisions of the Merger Agreement, the termination and termination fee provisions of the Merger Agreement, the requisite shareholder approvals for the Merger, the allocation of transaction expenses among the parties and their managers, and the management fee differential between REFI and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7, June 9 and June 10, 2026, the REFI Special Committee met by video conference to continue its review of the Merger and related negotiation issues, including, at the June 10 meeting, a report on the REFI Special Committee’s recent meeting with members of REFI management. The REFI Special Committee discussed potential strategic benefits of a transaction with LIEN, including expansion of the investment mandate, potential reduction or elimination of constraints associated with REFI’s REIT structure, increased scale, potential operating efficiencies, potential access to a more flexible capital structure and potential increased public float and liquidity. The REFI Special Committee also discussed potential shareholder concerns, including the management fee differential, potential dividend impact, transaction expenses, the Exchange Ratio calculation methodology, adjustments and procedures, the treatment of the potential acquisition of additional loans through the Koach Transaction, which, at that time, had not closed, and the strategic rationale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8, 2026, Nixon Peabody shared with the REFI Special Committee, Oppenheimer and Eversheds Sutherland the form of the Support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8, 2026, representatives of Eversheds Sutherland met with representatives of Baker, Donelson, Bearman, Caldwell &amp; Berkowitz PC, LIEN’s Maryland legal counsel, to discuss the shareholder voting requirements for approval of the Merger Agreement pursuant to the LIEN Charter and LIEN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7966x1_n14_115-merger_pg8"/>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8, 2026, representatives of Nixon Peabody and Eversheds Sutherland held a video conference to discuss U.S. federal income tax matters relating to the Merger, including the structure of the transaction, related provisions of the Merger Agreement, and the anticipated tax disclosures and opinions to be included in the registration statement, of which this joint proxy statement/prospectus forms a part.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Nixon Peabody reviewed the proposed transaction structure, including REFI’s proposed BDC Election followed by a stock-for-stock merger of REFI with and into LIEN, with LIEN as the surviving corporation. Under the Merger Agreement, following the BDC Election and before the Merger, the REFI Board, on recommendation of the REFI Special Committee, would be required to make the Post-BDC Election Approvals. The REFI Special Committee also reviewed tax considerations relating to the proposed transaction, including the parties’ intent that the Merger qualify as a reorganization under Section 368(a) of the Code, tax dividend requirements and issues relating to REFI’s REIT status and BDC Election.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also discussed proposed adjustments to the NAV calculation methodology, including adjustments to account for differences between REFI’s book value and LIEN’s fair value methodologies, treatment of current expected credit loss reserves, transaction expenses and REFI Manager’s proposed expense contribution. Oppenheimer reviewed examples of measures used in precedent affiliated transactions to support shareholder value, including expense reimbursements, temporary fee relief, share repurchase programs and manager investments. The REFI Special Committee expressed the view that any concessions should, to the extent practicable, benefit REFI Shareholders. Following further discussion, the REFI Special Committee directed Nixon Peabody and Oppenheimer to continue negotiations with LIEN and its representatives regarding the transaction structure, NAV adjustments and REFI Manager’s proposed expense contribution, and to develop proposals for consideration at a subsequent meeting of the REFI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9, 2026, the LIEN Special Committee held a meeting with LIEN’s senior management and representatives of Eversheds Sutherland to discuss the outstanding indebtedness of LIEN and REFI and the anticipated indebtedness of the proposed combined company. LIEN’s senior management explained that they expect to receive non-binding letters of support for the Merger from LIEN’s and REFI’s senior lenders prior to the LIEN Special Committee’s vote on whether to approve the Merger Agreement. LIEN’s senior management noted that it does not intend to receive consent from the holders of the REFI Unsecured Notes until closer to the Merger Effective Time, but that the fees associated with prepayment of the REFI Unsecured Notes expire in October 2026. LIEN’s senior management then outlined the anticipated indebtedness of the proposed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prior to a meeting of the REFI Special Committee on that date, members of the REFI Special Committee met by video conference with members of REFI management. In advance of the meeting, the REFI Special Committee had identified a number of topics for discussion with REFI management, including: the rationale that would support REFI shareholder approval of the Merger; how REFI shareholders’ anticipated concerns regarding the post-Merger management fee differential, potential dividend impact and potential near-term impact on the trading price of REFI Common Stock would be addressed; and REFI management’s plans in the event the requisite shareholder votes were not obtained. The REFI Special Committee had also indicated to its advisors that any concessions sought from REFI Manager in connection with the Merger should, to the extent practicable, benefit REFI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meeting with REFI management, members of REFI management reviewed with the REFI Special Committee three principal strategic alternatives available to REFI, including maintaining the status quo, an orderly wind-down of REFI’s portfolio, and the Merger with LIEN. The REFI Special Committee had previously reviewed with Oppenheimer a broader range of strategic alternatives, including a non-affiliated merger with a third-party public or private vehicle and changes to REFI’s investment strategy or structure, as described above. REFI management expressed the view that, under a status quo scenario, REFI’s dividend would likely decrease over time due to diminishing opportunities. REFI management indicated that an orderly wind-down would take several years to complete and was expected to result in a decline in REFI’s NAV of approximately 10% to 20% given ongoing operating expenses against a declining asset base. REFI management expressed the view that the proposed Merger offered the most compelling long-term value for REFI shareholders, citing increased scale, increased public float, improved access to debt capital markets, including the potential to achieve an investment grade credit rating for the combined company, and the broader investment mandate available to the combined company as a BDC. REFI management also expressed confidence that REFI Shareholder approval of the Merger could be obtained.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7966x1_n14_115-merger_pg9"/>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discussed with REFI management potential measures to enhance the value of the Merger for REFI Shareholders. REFI management stated that REFI Manager was prepared to make a $2 million payment of REFI’s transaction expenses in connection with the Merger. Following discussions among the REFI Special Committee, its advisors, REFI management and LIEN’s representatives, the parties ultimately agreed that the $2 million expense payment borne by REFI Manager (rather than REFI and the REFI Shareholders) would result in a corresponding increase to Closing REFI NAV for purposes of calculating the Exchange Ratio, with the effect of increasing the number of shares of LIEN Common Stock to be received by REFI Shareholders in the Merger. REFI management also expressed support for the LIEN Board considering, in good faith, the adoption of a post-Closing share repurchase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meeting, the REFI Special Committee reconvened with its advisors. Based on its discussions with REFI management and the additional terms that REFI management had indicated would be supported by REFI Manager, including the $2 million payment of REFI’s transaction expenses, the REFI Special Committee determined that the Merger appeared to represent the best available strategic alternative for REFI Shareholders and directed its advisors to continue to finalize the Merger Agreement and related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Nixon Peabody circulated to the REFI Special Committee, Oppenheimer and Eversheds Sutherland a revised draft of the Merger Agreement, which Eversheds Sutherland shared with the LIEN Special Committee, reflecting, among other things: the addition of an addback to Closing REFI NAV in Exhibit A of the Merger Agreement reflecting REFI Manager’s agreement to pay $2 million of REFI’s transaction expenses; a modification to the termination provisions in the Merger Agreement; and elimination of references to termination fees payable by either party, retaining the concept that a third party bidder making a superior proposal would be required to pay a termination fee to the non-terminating party prior to termination of the Merger Agreement, reflecting the position that the 1940 Act prohibits the payment of termination fees among affiliated investment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2026, representatives of Nixon Peabody and Eversheds Sutherland held a video conference to discuss the revised draft of the Merger Agreement and proposed revisions to Exhibit A of the Merger Agreement. At and in connection with the call, Eversheds Sutherland raised concerns regarding the termination provision in the Merger Agreement. Nixon Peabody and Eversheds Sutherland discussed the termination provision and determined that it could be deleted from the Merger Agreement and addressed through the shareholder approval conditions to completion of the Merger. Later that day, Eversheds Sutherland circulated to Nixon Peabody and the LIEN Special Committee a revised draft of the Merger Agreement, which Nixon Peabody shared with the REFI Special Committee and Oppenheimer, and Nixon Peabody circulated to Eversheds Sutherland a revised draft of Exhibit A to the Merger Agreement. Eversheds Sutherland advised Nixon Peabody that it was comfortable with the form of the Support Agreements and requested a list of signatories.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2026, the LIEN Special Committee held a meeting by videoconference with members of LIEN senior management and representatives of Eversheds Sutherland and KBW in attendance to discuss the revised draft of the Merger Agreement and related transaction matters. Members of LIEN senior management reviewed with the LIEN Special Committee the challenges associated with obtaining the requisite approval of the REFI Shareholders and explained that certain recent revisions to the Merger Agreement and related transaction terms were intended to make the Merger more attractive to REFI Shareholders. These revisions included the potential share repurchase program and the agreement by REFI Manager to pay $2 million of REFI’s expenses under the Merger Agreement. LIEN senior management also discussed its planned outreach to REFI Shareholders to solicit votes in favor of the applicable proposals. LIEN senior management reiterated its view that the Merger was in the best interests of LIEN Shareholders and REFI Shareholders and would be accretive to both.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discussion, members of LIEN senior management left the meeting, and the LIEN Special Committee continued to meet with representatives of Eversheds Sutherland and KBW. Representatives of Eversheds Sutherland reviewed with the LIEN Special Committee the revisions to the Merger Agreement, including revisions to the termination provisions, the shareholder voting requirements for approval of the Merger Agreement (including a requirement that the affirmative vote of both a majority of the outstanding shares and a majority of the unaffiliated shareholders voting at the meeting be obtained) and the potential share repurchase program. Representatives of Eversheds Sutherland also provided an update regarding LIEN management’s communications with the lenders under LIEN’s and REFI’s outstanding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KBW then reviewed financial matters relating to the Merger, including the modified Exchange Ratio reflecting REFI Manager’s agreement to pay $2 million of REFI’s transaction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7966x1_n14_115-merger_pg10"/>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with the LIEN Special Committee, on June 12, 2026, Eversheds Sutherland circulated to Nixon Peabody a revised draft of the Merger Agreement, which included a new covenant relative to consideration of a post-closing share repurchase and revisions to the termination provisions and termination fee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13, 2026, Nixon Peabody circulated to the REFI Special Committee a list of material open issues relative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the REFI Special Committee met with representatives of Nixon Peabody to review the Merger in advance of the anticipated approval meetings, including the terms and conditions of the Merger Agreement, the strategic rationale for the Merger, the BDC Election and 1940 Act compliance matters, the required shareholder approvals (including a requirement that the affirmative vote of both a majority of the outstanding shares and a majority of the unaffiliated shareholders voting at the meeting be obtained) and tax considerations, and to discuss the anticipated fairness opinion to be delivered by Oppenheimer. Nixon Peabody reviewed a consolidated list of material issues, and the REFI Special Committee discussed, among other things, the proposed post-Closing share repurchase program of up to $25 million, the removal of the REFI fiduciary out right and inclusion of a closing condition relative to the Post-BDC Election Approvals required under the 1940 Act, the proposed reciprocal termination fees and the REFI Special Committee’s direction to negotiate for their elimination or, failing that, their reduction, the financing-related closing condition and the proposed outside date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representatives of Nixon Peabody and Eversheds Sutherland held a video conference to discuss the status of the Merger Agreement and additional changes proposed by Nixon Peabody. In connection with the call, Nixon Peabody circulated to the REFI Special Committee and Eversheds Sutherland a further revised draft of the Merger Agreement, reflecting, among other things: the elimination of reciprocal termination fees; confirmation of the proposed $25 million amount for the post-Closing share repurchase program; extension of the outside date for the Merger to June 30, 2027; and identification of the proposed signatories to the Support Agreements. Eversheds Sutherland shared the further revised draft of the Merger Agreement and Exhibit A of the Merger Agreement with the LIEN Special Committee, the LIEN Board and LIEN’s senior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Nixon Peabody advised Eversheds Sutherland that, based on feedback from the REFI Special Committee and REFI management, the expense allocation language remaining in the Merger Agreement should be retained. Nixon Peabody advised that REFI Manager’s $2 million payment of REFI’s transaction expenses had been discussed between the two management teams, that the financial implications were reflected in the Exchange Ratio separately arrived at and agreed by the two management teams in consultation with the parties’ respective special committee’s financial advisors, and that the approach was consistent with a prior Chicago Atlantic transaction. The REFI Special Committee was in agreement with the approach, and Nixon Peabody requested confirmation that the LIEN Special Committee would also agree.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Eversheds Sutherland shared with Nixon Peabody, the LIEN Special Committee and the LIEN Board an updated draft of the Merger Agreement reflecting clean-up edits and noted that issues relating to the termination fee and the allocation of fees and expenses remained outstanding. Nixon Peabody shared the draft of the Merger Agreement with the REFI Special Committee and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from June 10 to June 17, 2026, representatives of Nixon Peabody and Eversheds Sutherland, together with representatives of Oppenheimer and KBW, also discussed and exchanged revised drafts of the Support Agreements and Exhibit A to the Merger Agreement setting forth the NAV calculation methodology. The principal items addressed by the parties during this period also included transaction expense allocation, a requirement that the affirmative vote of both a majority of all outstanding shares and a majority of the unaffiliated shareholders voting at the relevant meeting be obtained in order for the REFI or LIEN, as applicable, shareholder approvals to be deemed to have been received, the categories of adjustments to Closing REFI NAV and Closing LIEN NAV reflected in Exhibit A of the Merger Agreement, the inclusion in Closing REFI NAV of the $2 million amount attributable to REFI Manager’s payment of REFI transaction expenses, post-Closing board composition and the differences in director and officer indemnification protections available to BDCs in comparison to REITs.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the REFI Special Committee met by video conference with representatives of Oppenheimer to review Oppenheimer’s financial analyses in connection with its fairness opinion. Oppenheimer reviewed the proposed transaction structure, the Exchange Ratio methodology, the shareholder approval process, the proposed allocation of fees and expenses, and the potential share repurchase program that the LIEN Board would be required to consider in good faith following the signing of the Merger Agreement. Oppenheimer also reviewed its financial analyses of the proposed transaction, including implied Exchange Ratio reference ranges, and discussed the assumptions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7966x1_n14_115-merger_pg1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limitations of those analyses. Oppenheimer compared those reference ranges to an illustrative Exchange Ratio of 1.0851x, based on adjusted March 31, 2026 net book value per share of $14.30 for REFI and adjusted March 31, 2026 NAV per share of $13.18 for LIEN. Oppenheimer noted that the actual Exchange Ratio under the Merger Agreement would be calculated based on Closing REFI NAV and Closing LIEN NAV determined no earlier than 48 hours prior to the Merger Effective Time. At the meeting, Oppenheimer rendered to the REFI Special Committee its oral opinion that, as of that date and based upon and subject to the various assumptions, limitations, qualifications and other matters reviewed with the Special Committee, the Exchange Ratio was fair, from a financial point of view, to REFI Shareholders (other than REFI Manager, LIEN, LIEN Adviser and any of their respective Affiliates), and advised the REFI Special Committee that it expected to confirm its oral opinion by delivery of a written fairness opinion on the following day. The REFI Special Committee considered this advice, together with the proposed allocation of transaction expenses, REFI Manager’s $2 million payment of REFI transaction expenses, the valuation methodology set forth in the Merger Agreement and the other factors reviewed with its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16, 2026, the LIEN Special Committee held a meeting by videoconference with representatives of Eversheds Sutherland and KBW also in attendance. At the meeting, the LIEN Special Committee and representatives of Eversheds Sutherland discussed the removal of the termination fee provisions and the allocation of the fees and expenses of the Merger. Following discussion, the LIEN Special Committee determined to propose a fee arrangement pursuant to which LIEN would bear the first $200,000 of SEC filing, printing and mailing costs, REFI would bear the next $150,000 of such costs, representing costs between $200,000 and $350,000, and any costs above $350,000 would be split equally between LIEN and REFI. The LIEN Special Committee determined that, while LIEN was willing to bear such costs based on the parties’ $200,000 estimate, any excess costs should be REFI’s responsibility absent further allocation.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this meeting, KBW reviewed the financial aspects of the Merger and rendered an opinion to the LIEN Special Committee to the effect that, as of such date and subject to the procedures followed, assumptions made, matters considered, and qualifications and limitations on the review undertaken by KBW as set forth in such opinion, the Exchange Ratio (which was assumed in KBW’s opinion to be 1.0849x) in the Merger was fair, from a financial point of view, to LIEN. KBW’s opinion is more fully described in the section entitled “Opinion of the LIEN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LIEN Special Committee unanimously determined that the Merger Agreement, the Merger Stock Issuance Proposal, the terms of the Merger and the related transactions, and LIEN’s participation in the Merger and the related transactions, were fair to and in the best interests of LIEN and its shareholders, and that the interests of LIEN’s existing shareholders would not suffer dilution for purposes of Rule 17a-8 under the 1940 Act. The LIEN Special Committee also approved and declared advisable the Merger Stock Issuance Proposal, the Merger Agreement, the Merger and the related transactions, and recommended that the LIEN Board approve the Merger Stock Issuance Proposal, the Merger Agreement, the Merger and the related transactions and submit the applicable merger proposals to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the LIEN Special Committee, the LIEN Board held a meeting on June 16, 2026 to consider the LIEN Special Committee’s recommendation. Representatives of KBW reviewed KBW’s opinion rendered to the LIEN Special Committee as to the fairness, from a financial point of view and as of the date of the opinion, to LIEN of the Exchange Ratio in the proposed Merger and the financial analyses underlying KBW’s opinion. The LIEN Board reviewed the terms of the Merger Agreement, including the formula-based Exchange Ratio, the NAV calculation methodology, the Merger Stock Issuance Proposal, required shareholder approvals, Support Agreements, expense allocation, tax considerations and other matters described in the LIEN Board’s resolutions.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review of the LIEN Special Committee’s recommendation, the terms of the Merger Agreement and the other matters presented, the LIEN Board, acting on the recommendation of the LIEN Special Committee, unanimously determined that the Merger Agreement, the Merger Stock Issuance Proposal, the terms of the Merger and the related transactions, and LIEN’s participation in the Merger and the related transactions, were fair to and in the best interests of LIEN and its shareholders, and that the interests of LIEN’s existing shareholders would not suffer dilution for purposes of Rule 17a-8 under the 1940 Act. The LIEN Board also approved and declared advisable the Merger Stock Issuance Proposal, the Merger Agreement, the Merger and the related transactions, directed that the applicable merger proposals be submitted to LIEN Shareholders at the LIEN Special Meeting, and resolved to recommend that LIEN Shareholders approve such proposals.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7966x1_n14_115-merger_pg12"/>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16, 2026, Eversheds Sutherland communicated with Nixon Peabody that the LIEN Special Committee was comfortable with the removal of the termination fee provisions. With respect to the allocation of SEC filing, printing and mailing costs, Eversheds Sutherland, pursuant to the LIEN Special Committee’s instructions, made a proposal with respect to such costs. The parties subsequently agreed to that proposed allocation, as reflected in the executed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the remaining open issues relating to transaction expense allocation were resolved in the form of Merger Agreement presented to the REFI Special Committee and the REFI Board. The parties agreed that, except for SEC filing, printing and mailing costs, all fees and expenses incurred in connection with the BDC Election, the Merger, the Merger Agreement and the related transactions would be split equally between LIEN and REFI, with REFI Manager paying $2 million of the fees and expenses for which REFI would otherwise be responsible. The parties also agreed that LIEN would pay the first $200,000 of SEC filing, printing and mailing costs, REFI would pay the next $150,000 of such costs, and any such costs above $350,000 would be split equally.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its meeting on June 17, 2026, representatives of Oppenheimer delivered to the REFI Special Committee Oppenheimer’s oral opinion, confirming its prior advice, that the illustrative Exchange Ratio of 1.0851x was fair, from a financial point of view, to REFI Shareholders other than REFI Manager, LIEN, LIEN Adviser and their Affiliates. Oppenheimer subsequently delivered its written fairness opinion, dated June 17, 2026. Oppenheimer’s opinion was based on, among other things, the adjusted March 31, 2026 NAVs and Oppenheimer’s assumption that the finally calculated Closing REFI NAV and Closing LIEN NAV would not differ materially from those values. Oppenheimer’s opinion is more fully described in the section entitled “Opinion of the REFI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REFI Special Committee unanimously determined, in anticipation of the BDC Election and the Post-BDC Election Approvals required under the Merger Agreement, that the Merger Agreement, the BDC Election, the terms of the Merger and the related transactions and participation in the Merger and the related transactions are fair to and in the best interests of REFI and its shareholders, and that the interests of REFI’s existing shareholders would not suffer dilution for purposes of Rule 17a-8 under the 1940 Act. The REFI Special Committee also approved and declared advisable the Merger Agreement, the BDC Election, the Merger and the related transactions, and recommended that the REFI Board approve the Merger Agreement, the BDC Election, the Merger and the related transactions and submit the applicable BDC Election ratification, New BDC Advisory Agreement and merger proposals to REFI Shareholders. The REFI Special Committee also determined that, following the BDC Election and prior to Closing, it would be necessary and advisable for the REFI Special Committee and the REFI Board to reconvene to reaffirm certain determinations, including determinations required under Rule 17a-8 under the 1940 Act, and, if deemed appropriate and necessary, to receive an updated or reissued fairness opinion from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17, 2026, following the meeting of the REFI Special Committee and before the meeting of the REFI Board, the Compensation Committee of the REFI Board (the “REFI Compensation Committee”) held a meeting to consider the treatment of REFI’s outstanding equity awards in connection with the BDC Election and the Merger. The REFI Compensation Committee considered that REFI’s existing equity compensation arrangements, which include grants of restricted stock and restricted stock units under the REFI Incentive Plan, would not be permitted to remain outstanding following the BDC Election under the restrictions applicable to BDCs under the 1940 Act. The REFI Compensation Committee further considered that, given the transaction structure, under which REFI would effect the BDC Election prior to the Merger Effective Time, the outstanding restricted stock and restricted stock units would need to be addressed prior to the BDC Election Time in order to preserve the value of those awards for the holders and to avoid non-compliance with the 1940 Act. Following discussion, the REFI Compensation Committee, acting pursuant to its authority under the REFI Incentive Plan, unanimously authorized and approved the accelerated vesting in full of all outstanding restricted stock and restricted stock units granted under such plan, effective immediately prior to the BDC Election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the REFI Compensation Committee, the REFI Board held a meeting on June 17, 2026 to consider the REFI Special Committee’s recommendation. Representatives of Oppenheimer reviewed the financial analyses underlying its opinion and the illustrative exchange ratio of 1.0851x based on the adjusted March 31, 2026 NAVs, and delivered to the REFI Board Oppenheimer’s oral opinion, confirming its prior advice which would be followed up with the delivery of Oppenheimer’s written opinion, to the effect that, based upon and subject to the various assumptions, limitations, qualifications and other matters set forth in its written opinion, the Exchange Ratio was fair, from a financial point of view, to REFI Shareholders other than REFI Manager, LIEN, LIEN Adviser and any of their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7966x1_n14_115-merger_pg13"/>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respective Affiliates. The REFI Board also reviewed the terms of the Merger Agreement, including the formula-based Exchange Ratio, the NAV calculation methodology, the BDC Election, the New BDC Advisory Agreement, required shareholder approvals, Post-BDC Election Approvals, Support Agreements, expense allocation, tax considerations and other matters described in the REFI Board’s resolutions.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review of the REFI Special Committee’s recommendation, Oppenheimer’s financial analyses and opinion, the terms of the Merger Agreement and the other matters presented, the REFI Board, acting on the recommendation of the REFI Special Committee, unanimously determined, in anticipation of the BDC Election and the Post-BDC Election Approvals required under the Merger Agreement, that the Merger Agreement, the BDC Election, the terms of the Merger and the related transactions and participation in the Merger and the related transactions are fair to and in the best interests of REFI and its shareholders, and that the interests of REFI’s existing shareholders would not suffer dilution for purposes of Rule 17a-8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also approved and declared advisable the Merger Agreement, the BDC Election, the Merger and the related transactions, directed that the applicable BDC Election, New BDC Advisory Agreement and merger proposals be submitted to REFI Shareholders at the REFI Special Meeting, and resolved to recommend that REFI Shareholders approve such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Board also approved the New BDC Advisory Agreement, substantially in the form made available to the REFI Board and directed that the New BDC Advisory Agreement be submitted to REFI Shareholders for approval at the REFI Special Meeting in accordance with Section 15(a) of the 1940 Act. The New BDC Advisory Agreement would govern REFI’s advisory relationship during the period after the BDC Election and before the Merger Effective Time and would automatically terminate at the Merger Effective Time. See “</w:t>
      </w:r>
      <w:r>
        <w:rPr>
          <w:rFonts w:ascii="Times New Roman;Times;serif" w:hAnsi="Times New Roman;Times;serif"/>
          <w:i/>
          <w:color w:val="000000"/>
          <w:sz w:val="20"/>
        </w:rPr>
        <w:t>Description of New BDC Advisory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the meetings of the REFI Special Committee, the REFI Compensation Committee and the REFI Board, on June 17, 2026, REFI, LIEN, LIEN Adviser and REFI Manager executed and delivered the Merger Agreement. Concurrently with the execution and delivery of the Merger Agreement, certain shareholders of LIEN and REFI entered into Support Agreements with REFI and LIEN, pursuant to which, among other things, each agreed to vote its or his shares of LIEN Common Stock or REFI Common Stock, as applicable, in favor of the applicable LIEN and REFI shareholder approval matters. The Support Agreements cover approximately 4.8% of the outstanding REFI Common Stock and approximately 12.9% of the outstanding LIEN Common Stock. Shares subject to the Support Agreements are excluded from the determination of whether the affirmative vote of a majority of the unaffiliated shareholders voting at the meeting has been obtained, as required under the Merger Agreement. See “</w:t>
      </w:r>
      <w:r>
        <w:rPr>
          <w:rFonts w:ascii="Times New Roman;Times;serif" w:hAnsi="Times New Roman;Times;serif"/>
          <w:i/>
          <w:color w:val="000000"/>
          <w:sz w:val="20"/>
        </w:rPr>
        <w:t xml:space="preserve">Summary of the Merger </w:t>
      </w:r>
      <w:r>
        <w:rPr>
          <w:rFonts w:ascii="Times New Roman;Times;serif" w:hAnsi="Times New Roman;Times;serif"/>
          <w:color w:val="000000"/>
          <w:sz w:val="20"/>
        </w:rPr>
        <w:t xml:space="preserve">— </w:t>
      </w:r>
      <w:r>
        <w:rPr>
          <w:rFonts w:ascii="Times New Roman;Times;serif" w:hAnsi="Times New Roman;Times;serif"/>
          <w:i/>
          <w:color w:val="000000"/>
          <w:sz w:val="20"/>
        </w:rPr>
        <w:t>Vote Required — LIEN</w:t>
      </w:r>
      <w:r>
        <w:rPr>
          <w:rFonts w:ascii="Times New Roman;Times;serif" w:hAnsi="Times New Roman;Times;serif"/>
          <w:color w:val="000000"/>
          <w:sz w:val="20"/>
        </w:rPr>
        <w:t>” and “</w:t>
      </w:r>
      <w:r>
        <w:rPr>
          <w:rFonts w:ascii="Times New Roman;Times;serif" w:hAnsi="Times New Roman;Times;serif"/>
          <w:i/>
          <w:color w:val="000000"/>
          <w:sz w:val="20"/>
        </w:rPr>
        <w:t>Summary of the Merger — Vote Required — REFI.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Before the market opened on June 18, 2026, REFI and LIEN issued a joint press release announcing the execution of the Merger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Merger —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various telephonic LIEN Board meetings, the LIEN Board and the LIEN Special Committee considered the approval of the Merger and the Merger Agreement. In connection with its consideration, the LIEN Special Committee requested and LIEN Adviser and REFI Manager provided information regarding the proposed Merger, REFI, and the anticipated effects of the Merger on LIEN and LIEN Shareholders, both immediately after the Merger and over the longer-term assuming that some or all of the anticipated benefits of the Merger are realized. Over the course of its review of the materials and information provided and its consideration of the Merger, the LIEN Board and the LIEN Special Committee consulted with their legal adviser, Eversheds Sutherland, and other advisors, as well as LIEN’s management and LIEN Adviser. In addition, the LIEN Special Committee was advised as to certain financial matters by KBW. The LIEN Board and the LIEN Special Committee considered the nature and adequacy of the information provided, including the terms of the Merger Agreement and their duties under state and federal law in approving the Merger and the conflicts of interest presented by the transactions provided for in the Merger Agreement. The LIEN Board and the LIEN Special Committee considered numerous factors, including the ones described below, in connection with their consideration and approval of the Merger. On June 16, 2026, the LIEN Special Committee determined and recommended that the LIEN Board determine that the Merger is in the best interests of LIEN and in the best interests of LIEN Shareholders, and that existing LIEN Shareholders will not suffer any dilution for purposes of Rule 17a-8 of the 1940 Act as a result of the Merger. Later on June 16, 2026, the LIEN Board unanimously determined that the Merger is in the best interests of LIEN and in the best interests of LIEN Shareholders, and that existing LIEN Shareholders will not suffer any dilution for purposes of Rule 17a-8 of the 1940 Act as a result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7966x1_n14_115-merger_pg14"/>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Merger, the LIEN Board, with the participation throughout of the LIEN Special Committee, reviewed comparative information about LIEN and REFI including, among other items: (1) their investment goals, strategies, policies and restrictions; (2) their individual holdings and the quality of such holdings, including, in particular, the holdings of REFI that were not currently held by LIEN; (3) their valuation policies and procedures; (4) their existing leverage facilities and, with respect to LIEN, its permissible asset coverage ratio under the 1940 Act; (5) their short-term and long-term investment performance history and financial results; (6) the amount of past dividends and distributions and the anticipated effect of the Merger on future LIEN earnings and distributions; (7) the trading history of LIEN and REFI, including current and historical premiums and/or discounts at which LIEN and REFI have traded; and (8) their respective investment advisory and/or management agreements and expense ratios. In addition, the LIEN Board and the LIEN Special Committee reviewed comprehensive information regarding the anticipated immediate benefits and possible risks to LIEN as a result of the Merger, and the anticipated investment, market and financial synergies to be experienced by the combined company over the shorter and longer-term. The LIEN Special Committee also considered the potential financial impacts to LIEN of the Merger, in consultation with KBW.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separately, weighed various benefits and risks in considering the Merger, both with respect to the immediate effects of the Merger on LIEN and LIEN Shareholders and with respect to the potential benefits that could be experienced by the combined company after the Merger. Some of the material factors considered by the LIEN Board and the LIEN Special Committee that assisted it in concluding that the Merger is in the best interests of LIEN and LIEN Shareholders included, among others: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Increased Scale and Diversification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various possible advantages to the combined company as a result of its larger size. The combined company would be a top 25 externally managed BDC by NAV as of March 31, 2026, with combined investments fair valued at approximately $771 million, and an estimated NAV of approximately $611 million. The proposed merger would increase the fair value of LIEN’s total investments by approximately 112%.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that diversification is key to risk mitigation for a BDC, as diversification reduces reliance on the success of one singular investment. The LIEN Board and the LIEN Special Committee acknowledged that the combined portfolio would increase LIEN’s diversification across asset type and collateral profile, including real estate, working capital, intellectual property, pledges of equity, personal guarantees, cash flows and equipment, across both the cannabis and diversified direct lending markets.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LIEN Special Committee also acknowledged that the combined portfolio would be 100% senior secured. The LIEN Board and the LIEN Special Committee reviewed materials showing that the average investment size as a percentage of the portfolio at fair value would decrease to 1.7%, based on the individual portfolios as of March 31, 2026. The LIEN Board and LIEN Special Committee acknowledged that these factors would contribute to enhanced diversification and risk mitigation.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Improved Secondary Market Liquidity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contemplated the impact that the Merger would have on trading liquidity for LIEN Shareholders. The LIEN Board and the LIEN Special Committee reviewed analysis suggesting that, on average, larger BDCs tend to have higher daily trading volumes. Increased trading volumes could provide existing LIEN Shareholders with more flexibility to manage their investments and allow new shareholders to build positions in LIEN more efficiently. The LIEN Board and the LIEN Special Committee also considered that market analysts, institutional investors, index providers and exchange-traded funds often focus on larger BDCs with greater scale and market capitalization, and that the combined company may therefore attract increased market attention and be better positioned for inclusion in certain indices and investment portfolios.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Acquisition of a Known, High-Quality Portfolio of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noted that there was significant overlap between LIEN and REFI’s portfolios, as approximately 50% of investments in REFI were also held in LIEN as of March 31, 2026. The LIEN Board and the LIEN Special Committee also considered that LIEN and REFI employ similar investment and underwriting philosophies. The LIEN Board and the LIEN Special Committee concluded that the combination of two known, diversified portfolios of investments, each constructed and managed by investment committees that share substantial overlapping membership, will facilitate portfolio consolidation and meaningfully mitigate potential integration risk.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7966x1_n14_115-merger_pg15"/>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Well-Balanced Capital Structure and Potential for Increased Access to Larger, Lower-Cost, More Diversified Debt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discussed how the combined company may create potential for more diverse funding sources and create financing cost savings over time. In particular, they considered that the increased scale of the combined company could enhance balance sheet flexibility and provide access to a broader range of financing alternatives, including both secured and unsecured debt capital. The LIEN Board and the LIEN Special Committee also discussed that increased scale may improve the combined company’s ability to originate and hold larger investments in an increasingly consolidating industry and could support access to larger financing commitments. In addition, they considered that the size and scale of the combined company may improve the likelihood of obtaining investment-grade credit ratings from major credit rating agencies, which could further expand financing alternatives and contribute to lower borrowing costs over time. The LIEN Board and the LIEN Special Committee further discussed that increased scale may improve the liquidity of the combined company’s common stock and broaden its appeal to institutional investors.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Operational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reviewed the list of redundant professional services and other expenses associated with each of LIEN and REFI and determined that the potential expenses of the combined company would be less than the sum of the expenses of LIEN and REFI on a standalone basis. The LIEN Board noted that although certain one-time merger related expenses would be borne by LIEN Shareholders, the annual operating expenses (excluding borrowing expenses and advisory fees) are expected to be reduced as a percentage of net assets due to the elimination of redundant expenses. The LIEN Board and the LIEN Special Committee found that the expected decrease in the expenses of the combined company would benefit LIEN and LIEN Shareholders if the Merger is approved. </w:t>
      </w:r>
    </w:p>
    <w:p>
      <w:pPr>
        <w:pStyle w:val="TextBody"/>
        <w:bidi w:val="0"/>
        <w:spacing w:before="3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for NII Accretion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the long-term earnings profile of LIEN and the potential combined company while evaluating the Merger and determined that the Merger could be accretive to NII over time. The LIEN Board and the LIEN Special Committee considered the lower expense profile the combined company could have, through lower financing costs due to scale and elimination of redundant professional services and corporate expenses. Additionally, the LIEN Board and the LIEN Special Committee determined that NII could benefit further from incremental yield through portfolio mix optimization. The LIEN Board and the LIEN Special Committee concluded that a combined company could have an advantageous NII return profile over the long-term compared to LIEN alone as a result.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 and Underwriting Philosophies of Both Funds and Continuity of LIEN Adviser and LIEN’s Management Team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reviewed both LIEN’s and REFI’s investment programs and acknowledged that they have similar investment and underwriting philosophies. The LIEN Board and the LIEN Special Committee took into consideration that LIEN and REFI are each managed by affiliates of Chicago Atlantic and, after the Merger, the investment experience of LIEN Shareholders would likely be comparable in the combined company as there would be no increase to advisory fee rates. </w:t>
      </w:r>
    </w:p>
    <w:p>
      <w:pPr>
        <w:pStyle w:val="TextBody"/>
        <w:bidi w:val="0"/>
        <w:spacing w:before="3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that the Merger is anticipated to be treated as a tax-free reorganization for federal income tax purposes and neither LIEN nor LIEN Shareholders are expected to recognize any gain or loss for U.S. federal income tax purposes as a result of the Merger, except for any gain or loss that may result from the receipt of cash in lieu of fractional shares of LIEN Common Stock. </w:t>
      </w:r>
    </w:p>
    <w:p>
      <w:pPr>
        <w:pStyle w:val="TextBody"/>
        <w:bidi w:val="0"/>
        <w:spacing w:before="3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Dilution for Purposes of Rule 17a-8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that the Exchange Ratio (and thus the number of shares of LIEN Common Stock to be issued to REFI Shareholders pursuant to the Merger Agreement) will be determined by taking into account the Closing LIEN NAV and the Closing REFI NAV, supporting a determination that the interests of LIEN Shareholders will not be diluted for purposes of Rule 17a-8 under the 1940 Act as a result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7966x1_n14_115-merger_pg16"/>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The LIEN Special Committee and the LIEN Board considered that the Exchange Ratio provides that the number of shares of LIEN Common Stock to be issued to REFI Shareholders pursuant to the Merger Agreement will be determined on a NAV-for-NAV basis on the Determination Date.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Benefits Compared to Other Strategic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and the LIEN Board considered the potential benefits of the Merger noted above relative to other strategic options. The LIEN Board and the LIEN Special Committee weighed the option that LIEN could attempt to raise equity capital through public market follow-on offerings, but noted the challenges associated with raising capital as a result of LIEN’s market price historically trading at a discount to its NAV. If LIEN were to raise the equivalent amount of equity capital to reach the scale of the proposed combined company in public markets, disadvantages to shareholders include: the discount to trading levels that follow-on offerings are executed at, fees paid to bookrunners on equity offerings, and lower returns for a period of time following the equity offerings as LIEN holds the invested cash waiting to deploy the capital into attractive investment opportunities in line with LIEN’s strategy.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of the LIEN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considered the opinion dated June 16, 2026, of KBW to the LIEN Special Committee as to the fairness, from a financial point of view and as of the date of the opinion, to LIEN of the Exchange Ratio in the proposed Merger, as fully described below in the section entitled “— </w:t>
      </w:r>
      <w:r>
        <w:rPr>
          <w:rFonts w:ascii="Times New Roman;Times;serif" w:hAnsi="Times New Roman;Times;serif"/>
          <w:i/>
          <w:color w:val="000000"/>
          <w:sz w:val="20"/>
        </w:rPr>
        <w:t>Opinion of the LIEN Special Committee’s Financial Advisor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considering the information described above, including all of the anticipated effects of the Merger on LIEN and LIEN Shareholders and the related pro forma information, the LIEN Board noted that information based on projections and assumptions may be incorrect, is subject to change, and may fluctuate over time. The LIEN Board acknowledged that the pro forma information and the projections and assumptions on which the potential expenses, earnings, yield, dividend and trading price information is based depends on many factors and variables, including among other things, asset mix, the performance of individual investments, changing cost of service providers, portfolio turnover level, leverage, the cost of leverage, changes in interest rates and general market conditions. The LIEN Board noted that there is no assurance that any of the potential benefits to LIEN or LIEN Shareholders as a result of the Merger will be realized, including any anticipated synergies, and that the combined company could experience detrimental effects that had not been anticipated.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Potentially Adverse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its deliberations, the LIEN Board and the LIEN Special Committee also considered a variety of risks and other potentially adverse factors, including the following (which are not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Failure to Close</w:t>
            </w:r>
            <w:r>
              <w:rPr>
                <w:rFonts w:ascii="Times New Roman;Times;serif" w:hAnsi="Times New Roman;Times;serif"/>
                <w:color w:val="000000"/>
                <w:sz w:val="20"/>
              </w:rPr>
              <w:t xml:space="preserve">. It is possible that the Merger may not be completed or that completion may be unduly delayed for reasons beyond the control of LIEN or REFI. In addition, there is a possibility that REFI Shareholders or LIEN Shareholders may not approve the Merger or other approvals required in order to close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Management Diversion</w:t>
            </w:r>
            <w:r>
              <w:rPr>
                <w:rFonts w:ascii="Times New Roman;Times;serif" w:hAnsi="Times New Roman;Times;serif"/>
                <w:color w:val="000000"/>
                <w:sz w:val="20"/>
              </w:rPr>
              <w:t xml:space="preserve">. It is possible that the attention of management may be diverted during the period prior to completion of the Merger, which may adversely affect LIEN’s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Restrictions on Conduct of Business</w:t>
            </w:r>
            <w:r>
              <w:rPr>
                <w:rFonts w:ascii="Times New Roman;Times;serif" w:hAnsi="Times New Roman;Times;serif"/>
                <w:color w:val="000000"/>
                <w:sz w:val="20"/>
              </w:rPr>
              <w:t xml:space="preserve">. The restrictions on the conduct of LIEN’s business prior to completion of the Merger, pursuant to the Merger Agreement, requiring LIEN to conduct its business only in the ordinary course of business in all material respects, subject to specific limitations, could delay or prevent LIEN from undertaking business opportunities that may arise pending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Restrictions on Superior Proposals</w:t>
            </w:r>
            <w:r>
              <w:rPr>
                <w:rFonts w:ascii="Times New Roman;Times;serif" w:hAnsi="Times New Roman;Times;serif"/>
                <w:color w:val="000000"/>
                <w:sz w:val="20"/>
              </w:rPr>
              <w:t>. The Merger Agreement includes restrictions on the ability of LIEN to solicit proposals for alternative transactions or engage in discussions regarding such proposals, subject to exceptions and termination provisions (as more fully described in the section entitled “</w:t>
            </w:r>
            <w:r>
              <w:rPr>
                <w:rFonts w:ascii="Times New Roman;Times;serif" w:hAnsi="Times New Roman;Times;serif"/>
                <w:i/>
                <w:color w:val="000000"/>
                <w:sz w:val="20"/>
              </w:rPr>
              <w:t>Description of the Merger Agreement — Additional Agreements</w:t>
            </w:r>
            <w:r>
              <w:rPr>
                <w:rFonts w:ascii="Times New Roman;Times;serif" w:hAnsi="Times New Roman;Times;serif"/>
                <w:color w:val="000000"/>
                <w:sz w:val="20"/>
              </w:rPr>
              <w:t xml:space="preserve">”), which could have the effect of discouraging such proposals from being made or pursued.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Fees Associated with the Merger</w:t>
            </w:r>
            <w:r>
              <w:rPr>
                <w:rFonts w:ascii="Times New Roman;Times;serif" w:hAnsi="Times New Roman;Times;serif"/>
                <w:color w:val="000000"/>
                <w:sz w:val="20"/>
              </w:rPr>
              <w:t xml:space="preserve">. Except with respect to costs and expenses of printing and mailing this joint proxy statement/prospectus and all filing and other fees paid to the SEC in connection with the Merger, all fees and expenses incurred in connection with the BDC Election, Merger Agreement, Merger and other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7966x1_n14_115-merger_pg17"/>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shall be borne as follows: (i) one-half (1/2) of such fees shall be borne by LIEN and (ii) the remaining one-half (1/2) of such fees shall be borne by REFI; provided, however, that REFI Manager shall pay $2,000,000 of such fees and expenses for which REFI is responsible on behalf of REFI. With respect to the payment of the costs and expenses of printing and mailing this joint proxy statement/prospectus and all filing and other fees payable to the SEC in connection with the Merger: (i) LIEN shall be responsible to pay for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w:t>
      </w:r>
    </w:p>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Absence of Appraisal Rights</w:t>
            </w:r>
            <w:r>
              <w:rPr>
                <w:rFonts w:ascii="Times New Roman;Times;serif" w:hAnsi="Times New Roman;Times;serif"/>
                <w:color w:val="000000"/>
                <w:sz w:val="20"/>
              </w:rPr>
              <w:t xml:space="preserve">. LIEN Shareholders are not entitled to appraisal rights under the MGCL.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Risks</w:t>
            </w:r>
            <w:r>
              <w:rPr>
                <w:rFonts w:ascii="Times New Roman;Times;serif" w:hAnsi="Times New Roman;Times;serif"/>
                <w:color w:val="000000"/>
                <w:sz w:val="20"/>
              </w:rPr>
              <w:t>. There are various other risks associated with the Merger and the business of LIEN and the combined company described in the section entitled “</w:t>
            </w:r>
            <w:r>
              <w:rPr>
                <w:rFonts w:ascii="Times New Roman;Times;serif" w:hAnsi="Times New Roman;Times;serif"/>
                <w:i/>
                <w:color w:val="000000"/>
                <w:sz w:val="20"/>
              </w:rPr>
              <w:t>Risk Factors</w:t>
            </w:r>
            <w:r>
              <w:rPr>
                <w:rFonts w:ascii="Times New Roman;Times;serif" w:hAnsi="Times New Roman;Times;serif"/>
                <w:color w:val="000000"/>
                <w:sz w:val="20"/>
              </w:rPr>
              <w:t>” and in the section entitled “</w:t>
            </w:r>
            <w:r>
              <w:rPr>
                <w:rFonts w:ascii="Times New Roman;Times;serif" w:hAnsi="Times New Roman;Times;serif"/>
                <w:i/>
                <w:color w:val="000000"/>
                <w:sz w:val="20"/>
              </w:rPr>
              <w:t>Special Note Regarding Forward-Looking Statements.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that the LIEN Board and the LIEN Special Committee considered in making its decision is not intended to be exhaustive, but includes the material factors considered by the LIEN Board and the LIEN Special Committee. Because of the wide variety of factors considered in connection with its evaluation of the Merger and Merger Agreement and the complexity of those matters, the LIEN Board and the LIEN Special Committee did not find it useful to, and did not attempt to, quantify, rank or otherwise assign relative weights to these factors. In addition, the individual members of the LIEN Board may have given different weights to different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consulted with KBW, as its financial advisor, in evaluating the financial terms of the Merger. In addition, the LIEN Board relied on Eversheds Sutherland, as its legal advisor, for legal analysis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and the LIEN Special Committee considered all of these factors and others as a whole and, on balance, determined the Merger to be in the best interests of LIEN and LIEN Shareholders and unanimously approved the Merger and the Merger Agreement.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Merger —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the BDC Election, the Merger and the other transactions, the REFI Special Committee consulted with REFI’s management, Nixon Peabody and Oppenheimer. The REFI Board considered the recommendation of the REFI Special Committee, Oppenheimer’s opinion and the other materials presented. References below to factors considered by the REFI Board include, where applicable, factors considered by the REFI Special Committee and presented or recommended to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a wide range of factors, both potentially supportive of and potentially adverse to the Merger. The following discussion summarizes the material factors considered and is not intended to be exhaustive. Neither the REFI Special Committee nor the REFI Board attempted to quantify, rank or otherwise assign specific weights to the factors considered, and individual directors may have given different weight to different factors. </w:t>
      </w:r>
    </w:p>
    <w:p>
      <w:pPr>
        <w:pStyle w:val="TextBody"/>
        <w:bidi w:val="0"/>
        <w:spacing w:before="3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Strategic Rationale and Comparison to Other Alternatives Available to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strategic rationale for the Merger in the context of the alternatives available to REFI on a standalone basis. With the assistance of Oppenheimer, the REFI Special Committee reviewed five principal alternatives: continuing as an independent, standalone REIT focused on cannabis-related mortgage lending; a strategy shift, including diversification away from cannabis lending or conversion to a different regulatory structure; an orderly portfolio run-off with capital returned to shareholders over time; a non-affiliated merger with a public or private third-party vehicle; and the Merger with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REFI was not subject to any immediate financial or operational pressures that currently necessitated the Merger and currently had the ability to continue executing its business strategy on a standalone basis. REFI had generated consistent returns since its initial public offering, and had historically maintained a stable and covered dividend. They also considered, however, that the cannabis-focused commercial mortgage REIT model presents structural constraints that may limit REFI’s ability over time to enhance shareholder value. Such constraints include REFI’s relatively small scale, limitations on investment mandate flexibility imposed by REFI’s REIT election and real estate mortgage collateral requirements, concentration risk arising from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7966x1_n14_115-merger_pg18"/>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REFI’s exclusive cannabis focus, changes in the demand for real estate-collateralized financings in the cannabis industry, changing dynamics in the cannabis sector and limited availability of attractive opportunities within the traditional cannabis mortgage REIT model, and a constrained ability to access institutional debt capital and to broaden REFI’s investor base, given the regulatory and policy considerations applicable to cannabis-related investments. They also considered the view of REFI management that, under a status quo scenario, REFI could face pressure on its dividend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a portfolio run-off would require several years to complete, would result in ongoing operating expenses against a declining asset base and, based on preliminary illustrative analyses reviewed with Oppenheimer, could result in a decline of NAV due to ongoing operating expenses against a declining asset base, and could produce a lower implied per share value than the Merger. They also considered that a full liquidation was expected to be highly dilutive to shareholders. In addition, they considered that a non-affiliated merger would face a narrow universe of potential acquirors willing and able to underwrite a cannabis-focused loan portfolio, would be subject to significant execution risk and could, under certain circumstances, result in the incurrence of a substantial termination fee under the REFI Management Agreement, which could reduce value available to shareholders in any such transaction. They also considered that a change in strategy, including diversification away from cannabis lending, could result in a change from the management platform’s core competency, lower portfolio yields and limited near-term value creation, and that an equity raise through a public market follow-on offering at then-current trading levels below book value would be substantially dilutive to existing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contrast, the REFI Special Committee and the REFI Board considered that the Merger with LIEN could be executed on a NAV-for-NAV basis, that under the transaction structure the REFI Management Agreement would terminate at the BDC Election Time without termination notice or termination payment, that the common management platform could reduce certain integration risks, and that the transaction offered access to a broader investment mandate and capital structure with more limited disruption to REFI’s business than the other alternatives reviewed.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Increased Scale, Diversification and Investment Mandate Expansion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Merger would result in a combined company with greater scale than REFI on a standalone basis, including a pro forma market capitalization approximately double that of REFI on a standalone basis. They considered that increased scale in the BDC sector may be associated with greater operating efficiency, improved access to debt capital markets and a broader investor base, and that the combined company would have access to a broader investment mandate as a BDC than is available to REFI under its REIT election.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as a BDC, the combined company would not be limited to real estate-collateralized loans and could invest across cannabis and non-cannabis sectors, including in loans that REFI cannot make under its REIT structure. They considered information from management indicating that, based on management’s current expectations, the combined entity was expected over time to deploy a portion of its portfolio in non-cannabis lending opportunities. They considered that this expanded mandate could reduce the combined company’s concentration in the cannabis asset class and provide diversification across borrowers, sectors and collateral types, while preserving the management platform’s core lending expertise.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that REFI and LIEN share substantially similar investment strategies, portfolio compositions and management teams, and that there is meaningful overlap in their existing portfolios. They considered that the affiliated nature of the parties, the common management platform and the overlap in existing investments would be expected to facilitate portfolio integration and reduce certain integration risks relative to a non-affiliated combination.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Access to Capital and Capital Structure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view that the combined company, as a larger BDC, could over time have improved access to long-term, lower-cost and more flexible debt capital than REFI on a standalone basis. They considered that larger, more liquid BDC platforms have historically been able to access institutional debt markets on more favorable terms, including lower coupons and lower underwriting costs. They also considered that, as a BDC, the combined company could have access to greater leverage capacity than REFI has historically accessed under its current REIT structure. In addition, they considered that the size and scale of the combined company may improve the likelihood of obtaining investment-grade credit ratings from major credit rating agencies, which could further expand financing alternatives and contribute to lower borrowing costs over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7966x1_n14_115-merger_pg19"/>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combined company’s pro forma trading liquidity could increase, providing existing REFI Shareholders with greater flexibility to manage their investments and broadening the universe of potential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They also considered that REFI’s existing cannabis-only mandate has limited institutional investor participation in REFI Common Stock, and a combined company with a broader mandate could attract additional institutional investor interest over time, although there can be no assurance that any such interest will materialize.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NAV, Earnings and Dividend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manner in which the Exchange Ratio is calculated under the Merger Agreement. Under the Merger Agreement, the Exchange Ratio is equal to Closing REFI NAV divided by Closing LIEN NAV, each calculated as of a date no earlier than 48 hours prior to the Merger Effective Time and based on the valuation principles, assumptions, methodologies and adjustments set forth on Exhibit A to the Merger Agreement. The REFI Special Committee and the REFI Board considered that the NAV-for-NAV exchange mechanism is intended, subject to the valuation principles, assumptions, methodologies and adjustments set forth in Exhibit A to the Merger Agreement, to provide REFI Shareholders with shares of LIEN having an aggregate NAV equivalent to the aggregate adjusted net book value of their REFI Common Stock immediately prior to the Merger. The REFI Special Committee and the REFI Board considered the potential impact of Project Koach on the calculation of Closing REFI NAV, including the accounting treatment of the Project Koach transaction, the timing of the closing of the Project Koach transaction relative to the Determination Date, the expected effect of Project Koach on REFI’s adjusted net book value and the manner in which Project Koach assets would be valued for purposes of the Exchange Ratio. The REFI Special Committee and the REFI Board considered information from REFI management indicating that Project Koach was expected to be neutral or slightly accretive to REFI’s net book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REFI Manager had agreed to pay $2 million of REFI’s transaction expenses in connection with the Merger, which would otherwise have reduced Closing REFI NAV. By absorbing $2 million of REFI’s transaction expenses that would otherwise be borne by REFI, REFI Manager’s payment preserves the Closing REFI NAV for purposes of the Exchange Ratio and accordingly benefits REFI Shareholders by preserving the number of shares of LIEN Common Stock to be received in exchange for each share of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based on management projections and Oppenheimer analyses reviewed by the REFI Special Committee, the Merger had the potential to be accretive to NII over time relative to REFI on a standalone basis, reflecting, among other things, anticipated reductions in the cost of debt, the elimination of duplicative operating expenses, increased scale and the broader investment mandate of the combined company. They also considered that REFI’s reported NAV reflects loans carried at amortized cost net of a current expected credit loss reserve, while LIEN’s net book value reflects fair value marks under ASC 820 and ASC 946, and that Exhibit A to the Merger Agreement provides for adjustments designed to place both parties on a comparable basis for purposes of the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initial dividend rate following the Merger would be lower than REFI’s then-current dividend rate, but that the combined company’s dividend would be expected to be supported by NII and could have the potential to increase over time if the combined company achieved anticipated scale benefits, deployed additional leverage and expanded its investment mandate. They also considered that REFI Shareholders would, upon consummation of the Merger, hold an equity interest in a more diversified vehicle with greater scale and a broader investment mandate, and that shareholders seeking liquidity would be able to sell shares of the combined company in the public market following Closing, subject to market conditions and trading liquidity.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Dilution for Purposes of Rule 17a-8 under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following the BDC Election, the Merger would be subject to Rule 17a-8 under the 1940 Act and that the Merger Agreement requires the REFI Board, on recommendation of the REFI Special Committee, to make the Post-BDC Election Approvals before the Merger. In connection with their consideration of the Merger, the REFI Special Committee and the REFI Board considered that the Exchange Ratio is calculated on a NAV-for-NAV basis, using Closing REFI NAV and Closing LIEN NAV determined no earlier than 48 hours before the Merger Effective Time and based on the valuation principles, assumptions, methodologies and adjustments set forth in Exhibit A to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7966x1_n14_115-merger_pg20"/>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REFI Manager’s $2 million payment of REFI transaction expenses, the allocation of transaction expenses, the pro forma capitalization and ownership structure of the combined company, the valuation procedures applicable to REFI and LIEN, and other factors, including discussions with its advisors. Based on these factors, the REFI Special Committee and the REFI Board determined, in anticipation of the BDC Election and the Post-BDC Election Approvals required under the Merger Agreement, that REFI Shareholders would not suffer dilution for purposes of Rule 17a-8 under the 1940 Act.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Savings and Operating Efficiencies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that the Merger could result in the elimination of duplicative operating expenses, including professional services, listing fees, audit fees, insurance costs and other public-company-related expenses. They considered information from management and Oppenheimer regarding anticipated cost savings, and they considered that, although REFI and LIEN would each bear meaningful one-time transaction expenses in connection with the Merger, the recurring expense profile of the combined company was expected to be lower than the sum of the expense profiles of REFI and LIEN on a standalone basis. </w:t>
      </w:r>
    </w:p>
    <w:p>
      <w:pPr>
        <w:pStyle w:val="TextBody"/>
        <w:bidi w:val="0"/>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Fee Considerations and REFI Manager’s Contribution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as a meaningful factor in their deliberations, that the combined company would be subject to a BDC fee structure, which, as illustrated by Oppenheimer’s historical fee comparison reviewed with the REFI Special Committee, has been historically higher in the aggregate than REFI’s REIT fee structure. The REFI Special Committee and the REFI Board considered Oppenheimer’s analysis comparing REFI’s historical management fees to the fees that would have applied under LIEN’s fee structure over the prior three-year period and discussed the variance and its potential impact on REFI Shareholders. They considered, however, that the difference in fee structure reflects, in part, the different underlying business models and asset bases of REITs and BDCs, including the fact that the leverage framework applicable to BDCs under the 1940 Act differs from the leverage framework applicable to mortgage REITs, and that Oppenheimer’s analysis also considered certain components of REFI’s existing compensation arrangements, including stock-based compensation and origination fees payable to REFI Manager.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that REFI Manager had agreed to pay $2 million of REFI’s transaction expenses in connection with the Merger, which would otherwise have reduced Closing REFI NAV. By absorbing $2 million of REFI’s transaction expenses that would otherwise be borne by REFI, REFI Manager’s payment preserves the Closing REFI NAV for purposes of the Exchange Ratio and accordingly benefits REFI Shareholders by preserving the number of shares of LIEN Common Stock to be received in exchange for each share of REFI Common Stock</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The REFI Special Committee and the REFI Board also considered information from Oppenheimer regarding measures used in precedent affiliated transactions involving BDCs and similar vehicles to support shareholder value, which informed the REFI Special Committee’s evaluation of the appropriateness of REFI Manager’s $2 million contribution.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that the REFI Management Agreement contains a substantial termination provision that could entitle REFI Manager to a payment under certain non-affiliate termination scenarios, and that, under the structure of the Merger, the REFI Management Agreement will terminate at the BDC Election Time without termination notice or termination payment. They considered that this structure avoids a termination payment in connection with the Merger that could have been payable under certain other strategic alternatives.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 Certainty and Closing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factors relating to the likelihood that the Merger would be completed in accordance with the terms of the Merger Agreement, including the absence of any financing condition, the nature of the regulatory approvals required to complete the Merger, the status of discussions with REFI’s and LIEN’s lenders, including preliminary indications of support received as of the date of the Merger Agreement, the support agreements entered into by certain holders of LIEN Common Stock representing approximately 12.9% of the outstanding LIEN Common Stock and certain holders of REFI Common Stock representing approximately 4.8% of the outstanding REFI Common Stock, with shares subject to such agreements excluded from the applicable majority-of-the-minority-shares-voted shareholders vote, and the affiliated nature of REFI and LIEN, which could reduce certain diligence and integration risks while also presenting conflicts considered by the REFI Special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7966x1_n14_115-merger_pg21"/>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conditions under the Merger Agreement include the required shareholder approvals, the majority-of-the-minority-shares-voted voting standards applicable to both REFI and LIEN shareholders, the receipt of necessary regulatory approvals, the listing of the shares of LIEN Common Stock to be issued in the Merger on NASDAQ, the receipt of customary tax opinions and the receipt of the Post-BDC Election Approvals from the REFI Board following the BDC Election. </w:t>
      </w:r>
    </w:p>
    <w:p>
      <w:pPr>
        <w:pStyle w:val="TextBody"/>
        <w:bidi w:val="0"/>
        <w:spacing w:before="2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Protections and Deal Protection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the deal protection and termination provisions of the Merger Agreement, including the fact that the Merger Agreement does not provide for the payment of a contractual termination fee by REFI under any circumstance, although the Merger Agreement preserves remedies for willful or intentional breach as described under “</w:t>
      </w:r>
      <w:r>
        <w:rPr>
          <w:rFonts w:ascii="Times New Roman;Times;serif" w:hAnsi="Times New Roman;Times;serif"/>
          <w:i/>
          <w:color w:val="000000"/>
          <w:sz w:val="20"/>
        </w:rPr>
        <w:t>Description of the Merger Agreement—Termination of the Merger Agreement</w:t>
      </w:r>
      <w:r>
        <w:rPr>
          <w:rFonts w:ascii="Times New Roman;Times;serif" w:hAnsi="Times New Roman;Times;serif"/>
          <w:color w:val="000000"/>
          <w:sz w:val="20"/>
        </w:rPr>
        <w:t xml:space="preserve">.” The REFI Special Committee and the REFI Board considered that the Merger Agreement preserves REFI’s ability to consider unsolicited bona fide takeover proposals, to engage with potential acquirors in compliance with REFI’s fiduciary obligations and to terminate the Merger Agreement and accept a REFI Superior Proposal (as defined below), in each case subject to the no-solicitation restrictions, notice requirements and matching rights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the inclusion of a majority-of-the-minority-shares-voted voting standard, which requires, in addition to the applicable statutory approval, approval by a majority of the shares of REFI Common Stock voted at the REFI Special Meeting, excluding shares held by specified affiliated persons and shareholders party to the Support Agreements. The REFI Special Committee and the REFI Board viewed the inclusion of a majority-of-the-minority-shares-voted voting standard as a shareholder protection. See “</w:t>
      </w:r>
      <w:r>
        <w:rPr>
          <w:rFonts w:ascii="Times New Roman;Times;serif" w:hAnsi="Times New Roman;Times;serif"/>
          <w:i/>
          <w:color w:val="000000"/>
          <w:sz w:val="20"/>
        </w:rPr>
        <w:t>Summary of the Merger — Vote Required — LIEN</w:t>
      </w:r>
      <w:r>
        <w:rPr>
          <w:rFonts w:ascii="Times New Roman;Times;serif" w:hAnsi="Times New Roman;Times;serif"/>
          <w:color w:val="000000"/>
          <w:sz w:val="20"/>
        </w:rPr>
        <w:t>” and “</w:t>
      </w:r>
      <w:r>
        <w:rPr>
          <w:rFonts w:ascii="Times New Roman;Times;serif" w:hAnsi="Times New Roman;Times;serif"/>
          <w:i/>
          <w:color w:val="000000"/>
          <w:sz w:val="20"/>
        </w:rPr>
        <w:t>Summary of the Merger — Vote Required — REFI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also considered that the Merger Agreement requires the surviving company to obtain a seven-year directors’ and officers’ tail insurance policy and to maintain customary indemnification obligations for the benefit of REFI’s current and former directors and officers, subject to applicable limitations under the 1940 Act. </w:t>
      </w:r>
    </w:p>
    <w:p>
      <w:pPr>
        <w:pStyle w:val="TextBody"/>
        <w:bidi w:val="0"/>
        <w:spacing w:before="2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Treatment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that the Merger is intended to qualify as a reorganization within the meaning of Section 368(a) of the Code, and that REFI Shareholders would generally not be expected to recognize gain or loss for U.S. federal income tax purposes as a result of the Merger, except with respect to cash received in lieu of fractional shares, subject to the assumptions, limitations and qualifications described under “</w:t>
      </w:r>
      <w:r>
        <w:rPr>
          <w:rFonts w:ascii="Times New Roman;Times;serif" w:hAnsi="Times New Roman;Times;serif"/>
          <w:i/>
          <w:color w:val="000000"/>
          <w:sz w:val="20"/>
        </w:rPr>
        <w:t>Material U.S. Federal Income Tax Consequences.”</w:t>
      </w:r>
      <w:r>
        <w:rPr>
          <w:rFonts w:ascii="Times New Roman;Times;serif" w:hAnsi="Times New Roman;Times;serif"/>
          <w:color w:val="000000"/>
          <w:sz w:val="20"/>
        </w:rPr>
        <w:t xml:space="preserve"> They considered that, prior to the BDC Election Time, REFI would be required to declare and pay one or more Tax Dividends in an amount sufficient to eliminate REFI’s accumulated earnings and profits, if any, for U.S. federal income tax purposes and to reduce REFI’s REIT taxable income and net capital gain to zero for its final taxable year, and that REFI is required under the Merger Agreement to engage an independent accounting firm to compute the required Tax Dividend amount, if any. </w:t>
      </w:r>
    </w:p>
    <w:p>
      <w:pPr>
        <w:pStyle w:val="TextBody"/>
        <w:bidi w:val="0"/>
        <w:spacing w:before="2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Committee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considered the process by which the Merger was reviewed, negotiated and approved, including the establishment of the REFI Special Committee composed solely of independent directors at the outset of the process; the retention by the REFI Special Committee of independent legal and financial advisors with relevant expertise; the process protocols established by the REFI Special Committee; the negotiations conducted by the REFI Special Committee and its advisors over a multi-month period; the REFI Special Committee’s exercise of independent judgment regarding the pace and scope of its review, including deferring deliberations to ensure adequate time for thorough evaluation of the proposed transaction; the REFI Special Committee’s ability to control the timing of its process and continue deliberations until it determined it had sufficient information to make its recommendation; and the REFI Special Committee’s negotiation of a number of shareholder-protective terms in the Merger Agreement, including REFI Manager’s $2 million transaction expense payment, the majority-of-the-minority-shares-voted voting standard, the absence of any termination fee payable by REFI under the Merger Agreement, the structure under which the REFI Management Agreement would terminate at the BDC Election Time without termination notice or termination payment, the seven-year directors’ and officers’ tail insurance coverage and the provisions providing for LIEN’s good faith consideration of a post-Closing share repurchase program of up to $25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7966x1_n14_115-merger_pg22"/>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of the REFI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REFI Special Committee and the REFI Board considered the financial analyses presented by Oppenheimer and its written opinion, dated June 17, 2026, to the effect that, as of that date and subject to the various assumptions, limitations and qualifications set forth therein, the Exchange Ratio, as specified in Oppenheimer’s opinion, was fair, from a financial point of view, to REFI Shareholders, other than REFI Manager, LIEN, LIEN Adviser and any of their respective Affiliates. For purposes of Oppenheimer’s opinion, the Exchange Ratio of 1.0851x, which was derived from adjusted March 31, 2026 net book and net asset values and was subject to Oppenheimer’s assumption that the final Closing REFI NAV and Closing LIEN NAV would not differ materially from the adjusted March 31, 2026 NAVs. See “</w:t>
      </w:r>
      <w:r>
        <w:rPr>
          <w:rFonts w:ascii="Times New Roman;Times;serif" w:hAnsi="Times New Roman;Times;serif"/>
          <w:i/>
          <w:color w:val="000000"/>
          <w:sz w:val="20"/>
        </w:rPr>
        <w:t>The Merger — Opinion of the REFI Special Committee’s Financial Advisor</w:t>
      </w:r>
      <w:r>
        <w:rPr>
          <w:rFonts w:ascii="Times New Roman;Times;serif" w:hAnsi="Times New Roman;Times;serif"/>
          <w:color w:val="000000"/>
          <w:sz w:val="20"/>
        </w:rPr>
        <w:t xml:space="preserve">.” The REFI Special Committee and the REFI Board considered that Oppenheimer’s opinion did not take into account the impact of the Koach Transaction, that information regarding the Koach Transaction would be made available to shareholders through a separate filing under the Exchange Act and disclosed in REFI’s quarterly report, and that, in the event of a material change in REFI’s business prior to the REFI Special Meeting, including a material change in the performance of the Project Koach assets, the REFI Special Committee retained the ability to request a second opinion from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and the REFI Board recognized that many of the potential benefits described above, including potential increases in scale, liquidity, access to capital, cost savings, NII accretion, dividend growth and investor base diversification, are uncertain and may not be realized.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Potentially Adverse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their deliberations, the REFI Special Committee and the REFI Board also considered a variety of risks and other potentially adverse factors, including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Market Price Risk.</w:t>
            </w:r>
            <w:r>
              <w:rPr>
                <w:rFonts w:ascii="Times New Roman;Times;serif" w:hAnsi="Times New Roman;Times;serif"/>
                <w:color w:val="000000"/>
                <w:sz w:val="20"/>
              </w:rPr>
              <w:t xml:space="preserve"> The REFI Special Committee and the REFI Board considered that, although the Merger is structured on a NAV-for-NAV basis, LIEN Common Stock has historically traded at a discount to LIEN’s NAV per share, and the trading price of LIEN Common Stock following Closing is uncertain. The REFI Special Committee and the REFI Board considered that REFI Shareholders could, immediately following Closing, hold shares with a market value lower than the prevailing market value of their REFI Common Stock immediately prior to the Merger, even if the aggregate NAV of the LIEN shares received is equivalent to the aggregate NAV of their REFI Common Stock at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Lower Initial Dividend</w:t>
            </w:r>
            <w:r>
              <w:rPr>
                <w:rFonts w:ascii="Times New Roman;Times;serif" w:hAnsi="Times New Roman;Times;serif"/>
                <w:color w:val="000000"/>
                <w:sz w:val="20"/>
              </w:rPr>
              <w:t xml:space="preserve">. The REFI Special Committee and the REFI Board considered that the initial dividend rate of the combined company is expected to be lower than REFI’s then-current dividend rate, although the combined company’s dividend would be supported by NII and could have the potential to increase over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Management Fee Structure</w:t>
            </w:r>
            <w:r>
              <w:rPr>
                <w:rFonts w:ascii="Times New Roman;Times;serif" w:hAnsi="Times New Roman;Times;serif"/>
                <w:color w:val="000000"/>
                <w:sz w:val="20"/>
              </w:rPr>
              <w:t xml:space="preserve">. The REFI Special Committee and the REFI Board considered the difference between REFI’s REIT fee structure and the BDC fee structure to which the combined company will be subject, and the potential for higher aggregate management and incentive fees to be borne by shareholders of the combined company relative to REFI’s fee structure on a standalone basis. As part of this consideration, the REFI Special Committee and the REFI Board also took into account Oppenheimer’s analysis regarding certain components of REFI’s existing compensation arrangements, including stock-based compensation and origination fees payable to REFI Manager, and that the BDC fee structure reflects, in part, the higher leverage levels at which BDCs typically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Change in Investment Strategy and Portfolio Exposure</w:t>
            </w:r>
            <w:r>
              <w:rPr>
                <w:rFonts w:ascii="Times New Roman;Times;serif" w:hAnsi="Times New Roman;Times;serif"/>
                <w:color w:val="000000"/>
                <w:sz w:val="20"/>
              </w:rPr>
              <w:t xml:space="preserve">. The REFI Special Committee and the REFI Board considered that LIEN’s loan portfolio includes investments outside of REFI’s existing cannabis-focused investment mandate, including loans not collateralized by real estate mortgages. They considered that REFI shareholders, following the Merger, would hold an interest in an entity with a broader investment mandate than REFI’s current strategy and would be exposed to the credit profile of LIEN’s existing portfolio, which may carry a different risk profile than REFI’s existing portfolio.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Change from REIT to BDC Exposure</w:t>
            </w:r>
            <w:r>
              <w:rPr>
                <w:rFonts w:ascii="Times New Roman;Times;serif" w:hAnsi="Times New Roman;Times;serif"/>
                <w:color w:val="000000"/>
                <w:sz w:val="20"/>
              </w:rPr>
              <w:t xml:space="preserve">. The REFI Special Committee and the REFI Board considered that, following the Merger, REFI Shareholders would no longer hold shares of a REIT and instead would hold shares of a BDC regulated under the 1940 Act, with a different regulatory framework, tax regime, investment mandate, leverage framework, fee structure and investor base.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7966x1_n14_115-merger_pg23"/>
        <w:bookmarkEnd w:id="1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BDC Election Risks</w:t>
            </w:r>
            <w:r>
              <w:rPr>
                <w:rFonts w:ascii="Times New Roman;Times;serif" w:hAnsi="Times New Roman;Times;serif"/>
                <w:color w:val="000000"/>
                <w:sz w:val="20"/>
              </w:rPr>
              <w:t xml:space="preserve">. The REFI Special Committee and the REFI Board considered risks associated with the BDC Election, including the requirement that REFI become subject to the regulatory regime applicable to BDCs under the 1940 Act prior to the Merger Effective Time and the limited period during which REFI would operate as a BDC outside of the combined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 Risks</w:t>
            </w:r>
            <w:r>
              <w:rPr>
                <w:rFonts w:ascii="Times New Roman;Times;serif" w:hAnsi="Times New Roman;Times;serif"/>
                <w:color w:val="000000"/>
                <w:sz w:val="20"/>
              </w:rPr>
              <w:t>. The REFI Special Committee and the REFI Board considered the risk that the intended tax treatment of the Merger or the BDC Election could be challenged or not achieved, as more fully described under “</w:t>
            </w:r>
            <w:r>
              <w:rPr>
                <w:rFonts w:ascii="Times New Roman;Times;serif" w:hAnsi="Times New Roman;Times;serif"/>
                <w:i/>
                <w:color w:val="000000"/>
                <w:sz w:val="20"/>
              </w:rPr>
              <w:t>Material U.S. Federal Income Tax Consequences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Koach Transaction</w:t>
            </w:r>
            <w:r>
              <w:rPr>
                <w:rFonts w:ascii="Times New Roman;Times;serif" w:hAnsi="Times New Roman;Times;serif"/>
                <w:color w:val="000000"/>
                <w:sz w:val="20"/>
              </w:rPr>
              <w:t>. The REFI Special Committee and the REFI Board also considered the timing of the closing of the Koach Transaction relative to the execution of the Merger Agreement and the Determination Date, including the possibility that the financial impact of the Koach Transaction on REFI’s net book value could differ from the expectations described to the REFI Special Committee and the REFI Board, which could affect the Closing REFI NAV and, accordingly, the Exchange Ratio. The REFI Special Committee and the REFI Board considered information from REFI management and Oppenheimer indicating that the Koach Transaction was expected to be neutral or slightly accretive to REFI’s net book value. On July 9, 2026, REFI consummated the Koach Transaction and issued 4,306,754 shares of REFI Common Stock, representing approximately 16.8% of REFI’s outstanding shares immediately after giving effect to the issuance, at a price of $14.53 per share, in exchange for second lien promissory notes issued by Koach in an aggregate principal amount of approximately $62.5 million. The REFI Special Committee retained the ability to request a second opinion from Oppenheimer in the event of a material change in REFI’s business prior to the REFI Special Meeting, including a material change in the performance of the Koach Transaction assets. See “</w:t>
            </w:r>
            <w:r>
              <w:rPr>
                <w:rFonts w:ascii="Times New Roman;Times;serif" w:hAnsi="Times New Roman;Times;serif"/>
                <w:i/>
                <w:color w:val="000000"/>
                <w:sz w:val="20"/>
              </w:rPr>
              <w:t>Summary of the Merger — The Parties to the Merger — Chicago Atlantic Real Estate Finance, Inc</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Conflicts of Interest</w:t>
            </w:r>
            <w:r>
              <w:rPr>
                <w:rFonts w:ascii="Times New Roman;Times;serif" w:hAnsi="Times New Roman;Times;serif"/>
                <w:color w:val="000000"/>
                <w:sz w:val="20"/>
              </w:rPr>
              <w:t>. The REFI Special Committee and the REFI Board considered the conflicts of interest inherent in an affiliated transaction in which REFI Manager and LIEN Adviser are affiliated, share certain common management and have economic interests in the combined company that differ in certain respects from those of REFI shareholders. They considered that the REFI Special Committee process, the independence of the REFI Special Committee’s advisors, the majority-of-the-minority-shares-voted voting standard, the NAV-for-NAV exchange ratio mechanism and REFI Manager’s $2 million payment of transaction expenses were intended to address these conflicts, but that the conflicts could nonetheless be the subject of shareholder litigation or other challenges. See “</w:t>
            </w:r>
            <w:r>
              <w:rPr>
                <w:rFonts w:ascii="Times New Roman;Times;serif" w:hAnsi="Times New Roman;Times;serif"/>
                <w:i/>
                <w:color w:val="000000"/>
                <w:sz w:val="20"/>
              </w:rPr>
              <w:t>Interests of Certain Persons in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Failure to Close</w:t>
            </w:r>
            <w:r>
              <w:rPr>
                <w:rFonts w:ascii="Times New Roman;Times;serif" w:hAnsi="Times New Roman;Times;serif"/>
                <w:color w:val="000000"/>
                <w:sz w:val="20"/>
              </w:rPr>
              <w:t xml:space="preserve">. The REFI Special Committee and the REFI Board considered the risk that the Merger may not be completed on a timely basis or at all, including the risk that one or both shareholder votes might not be obtained, that required regulatory approvals might not be received, that closing conditions might not be satisfied, that the BDC Election might not be effected and that the Post-BDC Election Approvals might not be obtained. They considered that, if the Merger is not completed, REFI would have incurred meaningful transaction expenses without receipt of the anticipated benefits of the Merger, that REFI’s stock price could be adversely affected and that management’s attention may have been diverted from REFI’s ongoing business during the pendency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Restrictions and No-Solicitation Covenants</w:t>
            </w:r>
            <w:r>
              <w:rPr>
                <w:rFonts w:ascii="Times New Roman;Times;serif" w:hAnsi="Times New Roman;Times;serif"/>
                <w:color w:val="000000"/>
                <w:sz w:val="20"/>
              </w:rPr>
              <w:t xml:space="preserve">. The REFI Special Committee and the REFI Board considered that the Merger Agreement contains customary interim operating covenants that limit REFI’s ability to conduct its business outside the ordinary course during the period between signing and closing, including limitations on REFI’s ability to dispose of portfolio loans, which could limit REFI’s flexibility during such period. They also considered the non-solicitation covenants applicable to REFI under the Merger Agreement, which restricts REFI’s ability to solicit alternative transaction proposals during the pendency of the Merger, subject to customary fiduciary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Appraisal Rights</w:t>
            </w:r>
            <w:r>
              <w:rPr>
                <w:rFonts w:ascii="Times New Roman;Times;serif" w:hAnsi="Times New Roman;Times;serif"/>
                <w:color w:val="000000"/>
                <w:sz w:val="20"/>
              </w:rPr>
              <w:t xml:space="preserve">. The REFI Special Committee and the REFI Board considered that holders of REFI Common Stock do not have appraisal rights under the MGCL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Risks</w:t>
            </w:r>
            <w:r>
              <w:rPr>
                <w:rFonts w:ascii="Times New Roman;Times;serif" w:hAnsi="Times New Roman;Times;serif"/>
                <w:color w:val="000000"/>
                <w:sz w:val="20"/>
              </w:rPr>
              <w:t xml:space="preserve">. The REFI Special Committee and the REFI Board considered other factors that they deemed relevant under the circumstances, including, where applicable, the matters described under the headings “Risk Factors” and “Special Note Regarding Forward-Looking Statements” in this joint proxy statement/prospectus.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7966x1_n14_115-merger_pg24"/>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considering the foregoing factors, both favorable and unfavorable, as well as the recommendation of the REFI Special Committee, the financial analyses and opinion of Oppenheimer, the advice of Nixon Peabody and such other factors as they deemed relevant, the REFI Special Committee and the REFI Board concluded that the potential benefits of the Merger to REFI and its shareholders outweighed the potential adverse factors and risks. Accordingly, on June 17, 2026, the REFI Special Committee unanimously recommended that the REFI Board approve the Merger Agreement, the BDC Election, the Merger and the other transactions. Acting on that recommendation, the REFI Board unanimously approved and declared advisable the Merger Agreement, the BDC Election, the Merger and the other transactions, determined that the Merger is advisable and fair to and in the best interests of REFI and its shareholders and that REFI shareholders would not suffer dilution for purposes of Rule 17a-8 under the 1940 Act, and resolved to recommend that REFI Shareholders approve the applicable BDC Election, New BDC Advisory Agreement and merger proposals at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recommends that REFI Shareholders vote “FOR” each of the proposals to be considered at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is intended to summarize the material factors considered and is not intended to be exhaustive. In view of the wide variety of factors considered and the complexity of the matters involved, neither the REFI Special Committee nor the REFI Board attempted to quantify, rank or otherwise assign specific weights to the factors considered, and individual directors may have given different weight to different factors. The REFI Special Committee and the REFI Board considered the factors as a whole and, on balance, concluded that the Merger was advisable and fair to and in the best interests of REFI and its shareholders.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LIEN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including, after separate meetings and discussion, all of the independent directors, and upon a recommendation of the LIEN Special Committee, has unanimously approved (i) the Merger Agreement, including the Merger and other transactions and (ii) the Merger Stock Issuance Proposal. The LIEN Board of Directors, including all of the independent directors, unanimously recommends that LIEN Shareholders vote “FOR” the LIEN Proposals.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REFI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of Directors, including, after separate meetings and discussion, all of the independent directors, and upon a recommendation of the REFI Special Committee, has unanimously approved (i) the BDC Election Proposal, (ii) the New BDC Advisory Agreement Proposal and (iii) the Merger Proposal. The REFI Board of Directors, including all of the independent directors, unanimously recommends that REFI Shareholders vote “FOR” each of the REFI Proposals.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the LIEN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Special Committee engaged KBW to render financial advisory and investment banking services to the LIEN Special Committee, including the rendering of an opinion to the LIEN Special Committee as to the fairness, from a financial point of view, to LIEN of the Exchange Ratio in the Merger. KBW is a nationally recognized investment banking firm with substantial experience in transactions similar to the Merger. As part of its investment banking business, KBW is regularly engaged in the valuation of BDC and other specialty finance company securities in connection with mergers and acquisitions. The LIEN Special Committee selected KBW to act as the LIEN Special Committee’s financial advisor in connection with the Merger based on KBW’s experience acting as financial advisor to a special committee of the LIEN Board in connection with the October 2024 purchase by LIEN (then known as Silver Spike Investment Corp.) of certain assets from Chicago Atlantic Loan Portfolio, LLC, as well as KBW’s experience advising on transactions similar to the Merger, its reputation as a nationally recognized investment banking firm, and its familiarity with LIEN and its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its engagement, representatives of KBW attended the meeting of the LIEN Special Committee held on June 16, 2026, at which the LIEN Special Committee evaluated the Merger. At this meeting, KBW reviewed the financial aspects of the Merger and rendered an opinion to the LIEN Special Committee to the effect that, as of such date and subject to the procedures followed, assumptions made, matters considered, and qualifications and limitations on the review undertaken by KBW as set forth in such opinion, the Exchange Ratio (which was assumed in KBW’s opinion to be 1.0849x) in the Merger was fair, from a financial point of view, to LIEN.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7966x1_n14_115-merger_pg25"/>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opinion set forth herein is qualified in its entirety by reference to the full text of the opinion, which is attached as </w:t>
      </w:r>
      <w:r>
        <w:rPr>
          <w:rFonts w:ascii="Times New Roman;Times;serif" w:hAnsi="Times New Roman;Times;serif"/>
          <w:i/>
          <w:color w:val="000000"/>
          <w:sz w:val="20"/>
        </w:rPr>
        <w:t>Annex B</w:t>
      </w:r>
      <w:r>
        <w:rPr>
          <w:rFonts w:ascii="Times New Roman;Times;serif" w:hAnsi="Times New Roman;Times;serif"/>
          <w:color w:val="000000"/>
          <w:sz w:val="20"/>
        </w:rPr>
        <w:t xml:space="preserve"> to this joint proxy statement/prospectus and is incorporated herein by reference, and describes the procedures followed, assumptions made, matters considered, and qualifications and limitations on the review undertaken by KBW in preparing the opinion.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KBW’s opinion speaks only as of the date of the opinion. The opinion was for the information of, and was directed to, the LIEN Special Committee (in its capacity as such) in connection with its consideration of the financial terms of the Merger. The opinion addressed only the fairness, from a financial point of view, of the Exchange Ratio in the Merger to LIEN. It did not address the underlying business decision of LIEN to engage in the Merger or enter into the Merger Agreement or constitute a recommendation to the LIEN Special Committee or the LIEN Board in connection with the Merger, and it does not constitute a recommendation to any holder of LIEN Common Stock or any shareholder of any other entity as to how to vote or act in connection with the Merger or any other matter, nor does it constitute a recommendation as to whether or not any such shareholder should enter into a voting, shareholders’, affiliates’ or other agreement with respect to the Merger or exercise any dissenters’ or appraisal rights that may be available to such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opinion was reviewed and approved by KBW’s Fairness Opinion Committee in conformity with its policies and procedures established under the requirements of Rule 5150 of the Financial Industry Regulatory Authority.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LIEN and with the consent of the LIEN Special Committee, KBW relied upon and assumed for purposes of its analyses and opinion, without independent verification, that the Closing REFI NAV would be $14.30 and the Closing LIEN NAV would be equal to $13.18 and that, as a result thereof, the Exchange Ratio in the Merger of shares of LIEN Common Stock for each share of REFI Common Stock would be 1.0849x.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opinion, KBW reviewed, analyzed and relied upon material bearing upon the financial and operating condition of LIEN and REFI and bearing upon the Merger, including, among other things: </w:t>
      </w:r>
    </w:p>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Merger Agreement, dated June 16, 2026 (the most recent draft then made available to KBW);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financial statements and Annual Reports on Form 10-K for the three fiscal years ended December 31, 2025 of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quarterly financial statements and Quarterly Report on Form 10-Q for the quarter ended March 31, 2026 of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financial statements and Annual Reports on Form 10-K for the three fiscal years ended December 31, 2025 of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quarterly financial statements and Quarterly Report on Form 10-Q for the quarter ended March 31, 2026 of REFI; </w:t>
            </w:r>
          </w:p>
        </w:tc>
      </w:tr>
    </w:tbl>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interim reports and other communications of LIEN and REFI to their respective shareholders;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financial information concerning the respective businesses and operations of LIEN and REFI furnished to KBW by LIEN and REFI or which KBW was otherwise directed to use for purposes of its analysis.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consideration of financial information and other factors that it deemed appropriate under the circumstances or relevant to its analyses included, among others, the following: </w:t>
      </w:r>
    </w:p>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and current financial position and results of operations of LIEN and REFI;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assets and liabilities of LIEN and REFI;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nature and terms of certain merger transactions and business combinations in the BDC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comparison of certain financial and stock market information of LIEN and REFI with similar information for certain other companies, the securities of which are publicly traded;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and operating forecasts and projections of REFI that were prepared by management of REFI Manager, provided to KBW by REFI and discussed with KBW by REFI Manager management, and used and relied upon by KBW based on such discussions, at the direction of LIEN and with the consent of the LIEN Special Committee;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7966x1_n14_115-merger_pg26"/>
        <w:bookmarkEnd w:id="10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and operating forecasts and projections of LIEN that were prepared by management of LIEN Adviser, provided to KBW by LIEN and discussed with KBW by LIEN Adviser management, and used and relied upon by KBW at the direction of LIEN and with the consent of the LIEN Special Committee;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estimates regarding certain pro forma financial effects of the Merger on LIEN (including, without limitation, the cost savings and operating synergies expected to result or be derived from the Merger) that were prepared by management of LIEN Adviser, provided to KBW by LIEN and discussed with KBW by LIEN Adviser management, and used and relied upon by KBW at the direction of LIEN and with the consent of the LIEN Special Committee.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BDC and specialty finance company industries generally. KBW also participated in discussions with LIEN Adviser management and REFI Manager management regarding the respective past and current business operations, regulatory relations, financial condition and future prospects of LIEN and REFI and such other matters as KBW deemed relevant to its inquiry.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conducting its review and arriving at its opinion, KBW relied upon and assumed the accuracy and completeness of all of the financial and other information provided to or discussed with KBW or that was publicly available and did not independently verify the accuracy or completeness of any such information or assume any responsibility or liability for such verification, accuracy or completeness. KBW relied, with the consent of LIEN and the LIEN Special Committee, upon the management of REFI Manager as to the reasonableness and achievability of the financial and operating forecasts and projections of REFI referred to above (and the assumptions and bases therefor), and KBW has assumed that such forecasts and projections have been reasonably prepared and represent the best currently available estimates and judgments of REFI Manager management and that such forecasts and projections would be realized in the amounts and in the time periods currently estimated by such management. KBW further relied, with the consent of LIEN and the LIEN Special Committee, upon the management of LIEN Adviser as to the reasonableness and achievability of the financial and operating forecasts and projections of LIEN, and the estimates regarding certain pro forma financial effects of the merger on LIEN (including, without limitation, the cost savings and operating synergies expected to result or be derived from the Merger), all as referred to above (and the assumptions and bases for all such information), and KBW assumed that all such information were reasonably prepared and represented the best currently available estimates and judgments of LIEN Adviser management and that the forecasts, projections and estimates reflected in such information would be realized in the amounts and in the time periods estimated by such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understood that the foregoing financial information of LIEN and REFI that was provided to KBW was not prepared with the expectation of public disclosure and that all of the foregoing financial information was based on numerous variables and assumptions that are inherently uncertain and, accordingly, actual results could vary significantly from those set forth in such information. KBW assumed, with the consent of LIEN and the LIEN Special Committee,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also assumed that there were no material changes in the assets, liabilities, financial condition, results of operations, business or prospects of either LIEN or REFI since the date of the last financial statements of each such entity that were made available to KBW. KBW assumed, without independent verification and with consent of the LIEN Special Committee, that REFI had operated in conformity with the requirements for qualification as a REIT for federal income tax purposes since its formation as a REIT. In rendering its opinion, KBW did not make or obtain any evaluations or appraisals or physical inspection of the property, assets or liabilities (contingent or otherwise) of LIEN or REFI, the collateral securing any of such assets or liabilities, or the collectability of any such assets, nor did KBW examine any individual loan or credit files, nor did it evaluate the solvency, financial capability or fair value of LIEN or REFI under any state or federal laws, including those relating to bankruptcy, insolvency or other matters. KBW expressed no view as to the value of any investment asset owned by LIEN or REFI that was used in connection with the NAV or book value computations made or to be made by LIEN or REFI or the valuation policies and procedures of LIEN or REFI in connection therewith.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7966x1_n14_115-merger_pg27"/>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KBW assumed, in all respects material to its analyses: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and any related transactions would be completed substantially in accordance with the terms set forth in the Merger Agreement (the final terms of which KBW assumed would not differ in any respect material to its analyses from the draft reviewed by KBW and referred to above), with no adjustments to the Exchange Ratio and with no other consideration or payments in respect of REFI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each party in the Merger Agreement and in all related documents and instruments referred to in the Merger Agreement were true and correct;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to the Merger Agreement and all related documents would perform all of the covenants and agreements required to be performed by such party under such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were no factors that would delay or subject to any adverse conditions, any necessary regulatory or governmental approval for the Merger or any related transactions and all conditions to the completion of the Merger and any related transactions would be satisfied without any waivers or modifications to the Merger Agreement or any of the related documents;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obtaining the necessary regulatory, contractual, or other consents or approvals for the Merger and any related transactions, no restrictions, including any divestiture requirements, termination or other payments or amendments or modifications, would be imposed that would have a material adverse effect on the future results of operations or financial condition of LIEN, REFI or the pro forma entity, or the contemplated benefits of the Merger, including without limitation the cost savings and operating synergies expected to result or be derived from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assumed that the Merger would be consummated in a manner that complies with the applicable provisions of the Securities Act of 1933, the Exchange Act and all other applicable federal and state statutes, rules and regulations. KBW was further advised by representatives of LIEN that LIEN relied upon advice from its advisors (other than KBW) or other appropriate sources as to all legal, financial reporting, tax, accounting and regulatory matters with respect to LIEN, REFI, the Merger and any related transaction, and the Merger Agreement. KBW did not provide advice with respect to any such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opinion addressed only the fairness, from a financial point of view, as of the date of the opinion, of the Exchange Ratio in the Merger to LIEN. KBW expressed no view or opinion as to any other terms or aspects of the Merger or any term or aspect of any related transaction (including the Koach Transaction, the payment by REFI of the Tax Dividend, the BDC Election, the termination of the management agreement between REFI and REFI Manager and the entry into an investment advisory agreement between REFI and LIEN Adviser in connection with the BDC Election, the subsequent termination of such investment advisory agreement in connection with the Merger and any share repurchase program implemented by LIEN following the Merger), including without limitation, the form or structure of the Merger or any such related transaction, any consequences of the Merger or any related transaction to LIEN, its shareholders, creditors or otherwise, or any terms, aspects, merits or implications of any employment, consulting, voting, support, shareholder or other agreements, arrangements or understandings contemplated or entered into in connection with the Merger, any such related transaction, or otherwise. KBW’s opinion was necessarily based upon conditions as they existed and could be evaluated on the date of the opinion and the information made available to KBW through the date of the opinion. There has been significant volatility in the stock and other financial markets arising from global tensions and political division, economic uncertainty, recently announced actual or threatened imposition of tariff increases, inflation, and prolonged higher interest rates. Developments subsequent to the date of KBW’s opinion may have affected and may affect the conclusion reached in KBW’s opinion, and KBW did not and does not have an obligation to update, revise or reaffirm its opinion. KBW expressed no view or opinion as to any changes after the date of its opinion to the Closing REFI NAV and the Closing LIEN NAV (and the resulting Exchange Ratio), whether relating to the Koach Transaction or otherwise, from the amounts thereof that KBW was directed to assume for purposes of its analyses and opinion. KBW’s opinion did not address, and KBW expressed no view or opinion with respect to: </w:t>
      </w:r>
    </w:p>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underlying business decision of LIEN to engage in the Merger or enter into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relative merits of the Merger as compared to any strategic alternatives that are, have been or may be available to or contemplated by LIEN, the LIEN Board or the LIEN Special Committee;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7966x1_n14_115-merger_pg28"/>
        <w:bookmarkEnd w:id="1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business, operational or other plans with respect to REFI or the pro forma entity that may have then been or may be currently contemplated by LIEN, the LIEN Board or the LIEN Special Committee or that may be implemented by LIEN, the LIEN Board or the LIEN Special Committee subsequent to the closing of the Merger;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fees payable by LIEN or REFI to LIEN Adviser or REFI Manager for investment advisory and management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fairness of the amount or nature of any compensation to any of LIEN’s officers, directors or employees, or any class of such persons, relative to any compensation to the holders of LIEN Common Stock or relative to the Exchange Ratio;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the Merger or any related transaction on, or the fairness of the consideration to be received by, holders of any class of securities of LIEN or REFI or any other party to any transaction contemplated by the Merger Agreement (including, without limitation, the fairness of the purchase price to be paid by REFI in the Koach Transaction);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actual value of LIEN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prices, trading range or volume at which LIEN Common Stock or REFI Common Stock would trade following the public announcement of the Merger or the prices, trading range or volume at which LIEN Common Stock would trade following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advice or opinions provided by any other advisor to any of the parties to the Merger or any other transaction contemplated by the Merger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regulatory, accounting, tax or similar matters relating to LIEN, REFI, any of their respective shareholders, or relating to or arising out of or as a consequence of the Merger or any other related transaction, including whether or not the Merger would qualify as a tax-free reorganization for United States federal income tax purposes or whether the interests of the existing shareholders of LIEN and REFI would not be diluted as a result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KBW made numerous assumptions with respect to industry performance, general business, economic, market and financial conditions and other matters, which are beyond the control of KBW, LIEN and REFI.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the KBW opinion was among several factors taken into consideration by the LIEN Special Committee in making its determination to recommend the approval by the LIEN Board of the Merger Agreement and the Merger. Consequently, the analyses described below should not be viewed as determinative of the decision of the LIEN Special Committee with respect to the fairness of the Exchange Ratio. The type and amount of consideration payable in the Merger were determined through negotiation between LIEN and REFI and the decision of LIEN to enter into the Merger Agreement was solely that of the LIEN Special Committee and the LIEN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presented by KBW to the LIEN Special Committee in connection with its opinion. The summary is not a complete description of the financial analyses underlying the opinion or the presentation made by KBW to the LIEN Special Committee,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7966x1_n14_115-merger_pg29"/>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Implied Transaction Value for the Merger.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calculated an implied transaction value for the Merger of $10.82 per outstanding share of REFI Common Stock based on the assumed 1.0849x Exchange Ratio in the Merger and the closing price of LIEN Common Stock on June 15, 2026. This implied transaction value for the Merger of $10.82 per outstanding share of REFI Common Stock was compared to reference ranges of implied value per REFI Common Stock in the financial analyses of REFI described below. In addition, KBW reviewed with the LIEN Special Committee for informational purposes, among other things, implied transaction multiples for the Merger (using the implied transaction value for the Merger of $10.82 per outstanding share of REFI Common Stock) of 0.76x the estimated Closing REFI NAV provided by LIEN and 5.73x the distributable earnings per share (“DE”) of REFI for the 12-month period ended March 31, 2026 and also implied transaction multiples for the Merger (using an implied transaction value for the Merger of $14.30 per outstanding share of REFI Common Stock based on the estimated Closing REFI NAV and the estimated Closing LIEN NAV provided by LIEN) of 1.00x the estimated Closing REFI NAV provided by LIEN and 7.57x the DE of REFI for the 12-month period ended March 31, 2026.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Selected Companies Analysis of REFI.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Using publicly available information, KBW reviewed, among other things, the market performance of 13 selected publicly-traded companies, which included three capital providers focused on real estate or credit investments in the cannabis industry with assets and market enterprise values of greater than $75 million and which became publicly traded on or before the date of LIEN’s initial public offering (February 4, 2022) as well as 10 selected publicly traded, externally-managed U.S. commercial mortgage REITs with market capitalization of less than $1 billion. 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companies were as follows (shown by grouping in descending order of market capitalization): </w:t>
      </w:r>
    </w:p>
    <w:tbl>
      <w:tblPr>
        <w:tblW w:w="3680" w:type="dxa"/>
        <w:jc w:val="left"/>
        <w:tblInd w:w="0" w:type="dxa"/>
        <w:tblLayout w:type="fixed"/>
        <w:tblCellMar>
          <w:top w:w="0" w:type="dxa"/>
          <w:left w:w="0" w:type="dxa"/>
          <w:bottom w:w="0" w:type="dxa"/>
          <w:right w:w="0" w:type="dxa"/>
        </w:tblCellMar>
      </w:tblPr>
      <w:tblGrid>
        <w:gridCol w:w="3680"/>
      </w:tblGrid>
      <w:tr>
        <w:trPr/>
        <w:tc>
          <w:tcPr>
            <w:tcW w:w="3680" w:type="dxa"/>
            <w:tcBorders/>
            <w:vAlign w:val="center"/>
          </w:tcPr>
          <w:p>
            <w:pPr>
              <w:pStyle w:val="TableContents"/>
              <w:bidi w:val="0"/>
              <w:spacing w:before="0" w:after="0"/>
              <w:jc w:val="left"/>
              <w:rPr/>
            </w:pPr>
            <w:r>
              <w:rPr/>
              <w:t>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Selected Cannabis Capital Providers</w:t>
            </w:r>
            <w:r>
              <w:rPr>
                <w:rFonts w:ascii="Times New Roman;Times;serif" w:hAnsi="Times New Roman;Times;serif"/>
                <w:b/>
                <w:i/>
                <w:caps w:val="false"/>
                <w:smallCaps w:val="false"/>
                <w:color w:val="000000"/>
                <w:sz w:val="20"/>
              </w:rPr>
              <w:t xml:space="preserve">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Innovative Industrial Properties,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NewLake Capital Partners,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Advanced Flower Capital Inc.</w:t>
            </w:r>
          </w:p>
        </w:tc>
      </w:tr>
      <w:tr>
        <w:trPr/>
        <w:tc>
          <w:tcPr>
            <w:tcW w:w="3680" w:type="dxa"/>
            <w:tcBorders/>
            <w:vAlign w:val="center"/>
          </w:tcPr>
          <w:p>
            <w:pPr>
              <w:pStyle w:val="TableContents"/>
              <w:bidi w:val="0"/>
              <w:spacing w:before="0" w:after="0"/>
              <w:jc w:val="left"/>
              <w:rPr>
                <w:color w:val="000000"/>
              </w:rPr>
            </w:pPr>
            <w:r>
              <w:rPr>
                <w:color w:val="000000"/>
              </w:rPr>
              <w:t>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Selected U.S. Commercial Mortgage REITs</w:t>
            </w:r>
            <w:r>
              <w:rPr>
                <w:rFonts w:ascii="Times New Roman;Times;serif" w:hAnsi="Times New Roman;Times;serif"/>
                <w:b/>
                <w:i/>
                <w:caps w:val="false"/>
                <w:smallCaps w:val="false"/>
                <w:color w:val="000000"/>
                <w:sz w:val="20"/>
              </w:rPr>
              <w:t xml:space="preserve">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TPG RE Finance Trust,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Franklin BSP Realty Trust,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KKR Real Estate Finance Trust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Claros Mortgage Trust,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Ares Commercial Real Estate Corporation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Seven Hills Realty Trust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Sunrise Realty Trust,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Rithm Property Trust Inc.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ACRES Commercial Realty Corp.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Lument Finance Trust, Inc.</w:t>
            </w:r>
          </w:p>
        </w:tc>
      </w:tr>
      <w:tr>
        <w:trPr/>
        <w:tc>
          <w:tcPr>
            <w:tcW w:w="368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perform this analysis, KBW used market price information as of June 15, 2026, reported book value per share data as of the end of the most recent completed quarterly period available (“MRQ”), latest 12 months available (“LTM”) reported DE and MRQ and LTM dividends of the selected companies. KBW also used calendar years 2026 and 2027 DE estimates taken from publicly available consensus “street estimates” of the selected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7966x1_n14_115-merger_pg30"/>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analysis showed the following concerning the market performance of the selected companies (excluding the impact of the LTM DE multiples for five of the selected companies, the calendar year 2026 estimated DE multiples for four of the selected companies and the calendar year 2027 estimated DE multiple for one of the selected companies, which multiples were considered to be not meaningful because they were less than 0.0x or greater than 30.0x), as well as corresponding implied multiples for REFI based on the closing price of REFI Common Stock on June 15, 2026, which corresponding implied multiples for REFI were calculated using historical reported financial data and dividends of REFI as of or for periods ended March 31, 2026 and financial forecasts and projections of REFI provided by REFI: </w:t>
      </w:r>
    </w:p>
    <w:tbl>
      <w:tblPr>
        <w:tblW w:w="8285" w:type="dxa"/>
        <w:jc w:val="left"/>
        <w:tblInd w:w="0" w:type="dxa"/>
        <w:tblLayout w:type="fixed"/>
        <w:tblCellMar>
          <w:top w:w="0" w:type="dxa"/>
          <w:left w:w="0" w:type="dxa"/>
          <w:bottom w:w="0" w:type="dxa"/>
          <w:right w:w="0" w:type="dxa"/>
        </w:tblCellMar>
      </w:tblPr>
      <w:tblGrid>
        <w:gridCol w:w="2405"/>
        <w:gridCol w:w="140"/>
        <w:gridCol w:w="140"/>
        <w:gridCol w:w="545"/>
        <w:gridCol w:w="140"/>
        <w:gridCol w:w="140"/>
        <w:gridCol w:w="485"/>
        <w:gridCol w:w="140"/>
        <w:gridCol w:w="140"/>
        <w:gridCol w:w="545"/>
        <w:gridCol w:w="140"/>
        <w:gridCol w:w="140"/>
        <w:gridCol w:w="560"/>
        <w:gridCol w:w="140"/>
        <w:gridCol w:w="140"/>
        <w:gridCol w:w="635"/>
        <w:gridCol w:w="140"/>
        <w:gridCol w:w="140"/>
        <w:gridCol w:w="545"/>
        <w:gridCol w:w="140"/>
        <w:gridCol w:w="140"/>
        <w:gridCol w:w="605"/>
      </w:tblGrid>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vAlign w:val="center"/>
          </w:tcPr>
          <w:p>
            <w:pPr>
              <w:pStyle w:val="TableContents"/>
              <w:bidi w:val="0"/>
              <w:spacing w:before="0" w:after="0"/>
              <w:jc w:val="left"/>
              <w:rPr/>
            </w:pPr>
            <w:r>
              <w:rPr/>
              <w:t>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Companies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Book Value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0.25x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0.47x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0.96x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15.0x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CY2026 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14.1x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CY2027 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23.2x </w:t>
            </w:r>
          </w:p>
        </w:tc>
      </w:tr>
      <w:tr>
        <w:trPr/>
        <w:tc>
          <w:tcPr>
            <w:tcW w:w="24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Dividend Yield(1)(2)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15.2% </w:t>
            </w:r>
          </w:p>
        </w:tc>
      </w:tr>
      <w:tr>
        <w:trPr/>
        <w:tc>
          <w:tcPr>
            <w:tcW w:w="24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LTM Dividend Yield(1)(3)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17.1%</w:t>
            </w:r>
          </w:p>
        </w:tc>
      </w:tr>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tbl>
      <w:tblPr>
        <w:tblW w:w="4105" w:type="dxa"/>
        <w:jc w:val="left"/>
        <w:tblInd w:w="0" w:type="dxa"/>
        <w:tblLayout w:type="fixed"/>
        <w:tblCellMar>
          <w:top w:w="0" w:type="dxa"/>
          <w:left w:w="0" w:type="dxa"/>
          <w:bottom w:w="0" w:type="dxa"/>
          <w:right w:w="0" w:type="dxa"/>
        </w:tblCellMar>
      </w:tblPr>
      <w:tblGrid>
        <w:gridCol w:w="170"/>
        <w:gridCol w:w="393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Dividend yields reflected as a percentage of share price. </w:t>
            </w:r>
          </w:p>
        </w:tc>
      </w:tr>
    </w:tbl>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Reflected MRQ quarterly dividend annualized. </w:t>
            </w:r>
          </w:p>
        </w:tc>
      </w:tr>
    </w:tbl>
    <w:tbl>
      <w:tblPr>
        <w:tblW w:w="4495" w:type="dxa"/>
        <w:jc w:val="left"/>
        <w:tblInd w:w="0" w:type="dxa"/>
        <w:tblLayout w:type="fixed"/>
        <w:tblCellMar>
          <w:top w:w="0" w:type="dxa"/>
          <w:left w:w="0" w:type="dxa"/>
          <w:bottom w:w="0" w:type="dxa"/>
          <w:right w:w="0" w:type="dxa"/>
        </w:tblCellMar>
      </w:tblPr>
      <w:tblGrid>
        <w:gridCol w:w="170"/>
        <w:gridCol w:w="432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dividends with a record date during the LTM period.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then applied a range of price-to-book value per share multiples of 0.47x to 0.63x derived from the 25th percentile and 75th percentile multiples of the selected companies to the estimated Closing REFI NAV provided by LIEN. KBW also applied a range of price-to-LTM DE multiples of 8.2x to 11.9x derived from the 25th percentile and 75th percentile multiples of the selected companies to the DE of REFI for the 12-month period ended March 31, 2026. This analysis indicated the following ranges of the implied value per share of REFI Common Stock, as compared to the implied 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w:t>
      </w:r>
    </w:p>
    <w:tbl>
      <w:tblPr>
        <w:tblW w:w="8315" w:type="dxa"/>
        <w:jc w:val="left"/>
        <w:tblInd w:w="0" w:type="dxa"/>
        <w:tblLayout w:type="fixed"/>
        <w:tblCellMar>
          <w:top w:w="0" w:type="dxa"/>
          <w:left w:w="0" w:type="dxa"/>
          <w:bottom w:w="0" w:type="dxa"/>
          <w:right w:w="0" w:type="dxa"/>
        </w:tblCellMar>
      </w:tblPr>
      <w:tblGrid>
        <w:gridCol w:w="5615"/>
        <w:gridCol w:w="140"/>
        <w:gridCol w:w="140"/>
        <w:gridCol w:w="24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Share Ranges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REFI 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Estimated Closing REFI NAV provided by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$6.78 to $9.05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DE of REFI for the 12-month period ended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$15.49 to $22.51</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as a comparison in the above selected companies analysis is identical to REFI. Accordingly, an analysis of these results is not mathematical. Rather, it involves complex considerations and judgments concerning differences in financial and operating characteristics of the companies involved.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Selected Companies Analysis of LIEN.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Using publicly available information, KBW reviewed, among other things, the market performance of 20 selected publicly traded, externally managed BDCs with market capitalizations of greater than $100 million and less than $800 million. 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companies were as follows (shown in descending order of market capitalization): </w:t>
      </w:r>
    </w:p>
    <w:tbl>
      <w:tblPr>
        <w:tblW w:w="3320" w:type="dxa"/>
        <w:jc w:val="left"/>
        <w:tblInd w:w="0" w:type="dxa"/>
        <w:tblLayout w:type="fixed"/>
        <w:tblCellMar>
          <w:top w:w="0" w:type="dxa"/>
          <w:left w:w="0" w:type="dxa"/>
          <w:bottom w:w="0" w:type="dxa"/>
          <w:right w:w="0" w:type="dxa"/>
        </w:tblCellMar>
      </w:tblPr>
      <w:tblGrid>
        <w:gridCol w:w="3320"/>
      </w:tblGrid>
      <w:tr>
        <w:trPr/>
        <w:tc>
          <w:tcPr>
            <w:tcW w:w="3320" w:type="dxa"/>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Carlyle Secured Lending, Inc.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Mountain Finance Corporation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Fidus Investment Corporation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Investment Corp.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Nuveen Churchill Direct Lending Corp.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Investment Corporation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MSC Income Fund, Inc.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Capital Corporation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Crescent Capital BDC, Inc. </w:t>
            </w:r>
          </w:p>
        </w:tc>
      </w:tr>
      <w:tr>
        <w:trPr/>
        <w:tc>
          <w:tcPr>
            <w:tcW w:w="33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77966x1_n14_115-merger_pg31"/>
        <w:bookmarkEnd w:id="114"/>
        <w:r>
          <w:rPr>
            <w:rStyle w:val="InternetLink"/>
            <w:rFonts w:ascii="Times New Roman;Times;Serif" w:hAnsi="Times New Roman;Times;Serif"/>
            <w:b/>
            <w:caps w:val="false"/>
            <w:smallCaps w:val="false"/>
            <w:color w:val="000000"/>
            <w:sz w:val="16"/>
          </w:rPr>
          <w:t>TABLE OF CONTENTS</w:t>
        </w:r>
      </w:hyperlink>
    </w:p>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Saratoga Investment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CION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Palmer Square Capital BDC Inc.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Horizon Technology Finance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TCP Capital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Stellus Capital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PennantPark Investment Corporation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Runway Growth Finance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TriplePoint Venture Growth BDC Corp.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WhiteHorse Finance, Inc.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Oxford Square Capital Corp.</w:t>
            </w:r>
          </w:p>
        </w:tc>
      </w:tr>
      <w:tr>
        <w:trPr/>
        <w:tc>
          <w:tcPr>
            <w:tcW w:w="35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perform this analysis, KBW used market price information as of June 15, 2026, reported NAV per share data as of the end of the most recent completed quarterly period available, LTM reported NII and MRQ and LTM dividends of the selected companies. KBW also used calendar years 2026 and 2027 NII estimates taken from consensus “street estimates” of the selected companies to the extent publicly available (2027 consensus “street estimates” were not publicly available for one of the selected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KBW’s analysis showed the following concerning the market performance of the selected companies (excluding the impact of the LTM NII multiple for one of the selected companies, which multiple was considered to be not meaningful because it was less than 0.0x), as well as corresponding implied multiples for LIEN based on the closing price of LIEN Common Stock on June 15, 2026, which corresponding implied multiples were calculated using historical reported financial data and dividends of LIEN as of or for periods ended March 31, 2026 and financial forecasts and projections of LIEN provided by LIEN: </w:t>
      </w:r>
    </w:p>
    <w:tbl>
      <w:tblPr>
        <w:tblW w:w="8285" w:type="dxa"/>
        <w:jc w:val="left"/>
        <w:tblInd w:w="0" w:type="dxa"/>
        <w:tblLayout w:type="fixed"/>
        <w:tblCellMar>
          <w:top w:w="0" w:type="dxa"/>
          <w:left w:w="0" w:type="dxa"/>
          <w:bottom w:w="0" w:type="dxa"/>
          <w:right w:w="0" w:type="dxa"/>
        </w:tblCellMar>
      </w:tblPr>
      <w:tblGrid>
        <w:gridCol w:w="2405"/>
        <w:gridCol w:w="140"/>
        <w:gridCol w:w="140"/>
        <w:gridCol w:w="545"/>
        <w:gridCol w:w="140"/>
        <w:gridCol w:w="140"/>
        <w:gridCol w:w="485"/>
        <w:gridCol w:w="140"/>
        <w:gridCol w:w="140"/>
        <w:gridCol w:w="545"/>
        <w:gridCol w:w="140"/>
        <w:gridCol w:w="140"/>
        <w:gridCol w:w="560"/>
        <w:gridCol w:w="140"/>
        <w:gridCol w:w="140"/>
        <w:gridCol w:w="635"/>
        <w:gridCol w:w="140"/>
        <w:gridCol w:w="140"/>
        <w:gridCol w:w="545"/>
        <w:gridCol w:w="140"/>
        <w:gridCol w:w="140"/>
        <w:gridCol w:w="605"/>
      </w:tblGrid>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vAlign w:val="center"/>
          </w:tcPr>
          <w:p>
            <w:pPr>
              <w:pStyle w:val="TableContents"/>
              <w:bidi w:val="0"/>
              <w:spacing w:before="0" w:after="0"/>
              <w:jc w:val="left"/>
              <w:rPr/>
            </w:pPr>
            <w:r>
              <w:rPr/>
              <w:t>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Companies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NAV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0.46x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0.81x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CY2026 NII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17.4x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CY2027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17.0x </w:t>
            </w:r>
          </w:p>
        </w:tc>
      </w:tr>
      <w:tr>
        <w:trPr/>
        <w:tc>
          <w:tcPr>
            <w:tcW w:w="24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Dividend Yield(1)(2)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31.3% </w:t>
            </w:r>
          </w:p>
        </w:tc>
      </w:tr>
      <w:tr>
        <w:trPr/>
        <w:tc>
          <w:tcPr>
            <w:tcW w:w="24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LTM Dividend Yield(1)(3)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31.3%</w:t>
            </w:r>
          </w:p>
        </w:tc>
      </w:tr>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tbl>
      <w:tblPr>
        <w:tblW w:w="4105" w:type="dxa"/>
        <w:jc w:val="left"/>
        <w:tblInd w:w="0" w:type="dxa"/>
        <w:tblLayout w:type="fixed"/>
        <w:tblCellMar>
          <w:top w:w="0" w:type="dxa"/>
          <w:left w:w="0" w:type="dxa"/>
          <w:bottom w:w="0" w:type="dxa"/>
          <w:right w:w="0" w:type="dxa"/>
        </w:tblCellMar>
      </w:tblPr>
      <w:tblGrid>
        <w:gridCol w:w="170"/>
        <w:gridCol w:w="393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Dividend yields reflected as a percentage of share price. </w:t>
            </w:r>
          </w:p>
        </w:tc>
      </w:tr>
    </w:tbl>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Reflected MRQ quarterly dividend annualized. </w:t>
            </w:r>
          </w:p>
        </w:tc>
      </w:tr>
    </w:tbl>
    <w:tbl>
      <w:tblPr>
        <w:tblW w:w="4495" w:type="dxa"/>
        <w:jc w:val="left"/>
        <w:tblInd w:w="0" w:type="dxa"/>
        <w:tblLayout w:type="fixed"/>
        <w:tblCellMar>
          <w:top w:w="0" w:type="dxa"/>
          <w:left w:w="0" w:type="dxa"/>
          <w:bottom w:w="0" w:type="dxa"/>
          <w:right w:w="0" w:type="dxa"/>
        </w:tblCellMar>
      </w:tblPr>
      <w:tblGrid>
        <w:gridCol w:w="170"/>
        <w:gridCol w:w="432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dividends with a record date during the LTM period.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as a comparison in the above selected companies analysis is identical to LIEN. Accordingly, an analysis of these results is not mathematical. Rather, it involves complex considerations and judgments concerning differences in financial and operating characteristics of the companies involved.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Selected Transactions Analysis. </w:t>
      </w:r>
      <w:r>
        <w:rPr>
          <w:rFonts w:ascii="Times New Roman;Times;serif" w:hAnsi="Times New Roman;Times;serif"/>
          <w:b w:val="false"/>
          <w:i w:val="false"/>
          <w:caps w:val="false"/>
          <w:smallCaps w:val="false"/>
          <w:color w:val="000000"/>
          <w:sz w:val="20"/>
        </w:rPr>
        <w:t xml:space="preserve">KBW reviewed publicly available information related to 35 selected acquisitions of U.S. BDCs announced since the beginning of 2015.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selected transactions were as follows: </w:t>
      </w:r>
    </w:p>
    <w:tbl>
      <w:tblPr>
        <w:tblW w:w="7940" w:type="dxa"/>
        <w:jc w:val="left"/>
        <w:tblInd w:w="0" w:type="dxa"/>
        <w:tblLayout w:type="fixed"/>
        <w:tblCellMar>
          <w:top w:w="0" w:type="dxa"/>
          <w:left w:w="0" w:type="dxa"/>
          <w:bottom w:w="0" w:type="dxa"/>
          <w:right w:w="0" w:type="dxa"/>
        </w:tblCellMar>
      </w:tblPr>
      <w:tblGrid>
        <w:gridCol w:w="3455"/>
        <w:gridCol w:w="140"/>
        <w:gridCol w:w="140"/>
        <w:gridCol w:w="4205"/>
      </w:tblGrid>
      <w:tr>
        <w:trPr/>
        <w:tc>
          <w:tcPr>
            <w:tcW w:w="3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r>
      <w:tr>
        <w:trPr/>
        <w:tc>
          <w:tcPr>
            <w:tcW w:w="34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Acquired Company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Horizon Technology Finance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Monroe Capital Corporation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Monroe Capital Income Plus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Monroe Capital Corporation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Logan Ridge Finance Corporation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Blue Owl Technology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Blue Owl Technology Finance Corp. II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Pantheon Silver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Goldman Sachs Private Middle Market Credit LLC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Blue Owl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Blue Owl Capital Corporation III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Carlyle Secured Lending,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Carlyle Secured Lending III </w:t>
            </w:r>
          </w:p>
        </w:tc>
      </w:tr>
      <w:tr>
        <w:trPr/>
        <w:tc>
          <w:tcPr>
            <w:tcW w:w="3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7966x1_n14_115-merger_pg32"/>
        <w:bookmarkEnd w:id="1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950"/>
        <w:gridCol w:w="140"/>
        <w:gridCol w:w="140"/>
        <w:gridCol w:w="5975"/>
      </w:tblGrid>
      <w:tr>
        <w:trPr/>
        <w:tc>
          <w:tcPr>
            <w:tcW w:w="3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r>
        <w:trPr/>
        <w:tc>
          <w:tcPr>
            <w:tcW w:w="39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Acquired Company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North Haven Private Income Fund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Golub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Golub Capital BDC 3,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Midcap Financial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Apollo Senior Floating Rate Fund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Midcap Financial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Apollo Tactical Income Fund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Franklin BSP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Franklin BSP Lending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TCP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Capital Investment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Eagle Alternative Capital BDC,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Specialty Lending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Oaktree Strategic Income II,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SLR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Senior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Barings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Sierra Income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Harvest Capital Credit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FS KKR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FS KKR Capital Corp. II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Specialty Lending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Oaktree Strategic Income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Barings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MVC Capital,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Garrison Capital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Sachs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Goldman Sachs Middle Market Lending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Alcentra Capital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OHA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FS Investment Corporation 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FS Investment Corporation III, FS Investment Corporation IV, Corporate Capital Trust II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East Asset Management,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Rand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Golub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Golub Capital Investment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FS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Capital Trust, Inc.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Benefit Street Partners LLC; Barings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Triangle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TCG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NF Investment Corp.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CION Investment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Credit Suisse Park View BDC, Inc. </w:t>
            </w:r>
          </w:p>
        </w:tc>
      </w:tr>
      <w:tr>
        <w:trPr/>
        <w:tc>
          <w:tcPr>
            <w:tcW w:w="395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MAST Capital Mgmt LLC; Great Elm Capital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Full Circle Capital Corporation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Ares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American Capital, Ltd.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PennantPark Floating Rate Capital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MCG Capital Corporation</w:t>
            </w:r>
          </w:p>
        </w:tc>
      </w:tr>
      <w:tr>
        <w:trPr/>
        <w:tc>
          <w:tcPr>
            <w:tcW w:w="3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each selected transaction, KBW derived the following implied transaction statistics, in each case based on the transaction consideration value paid for the acquired company (including contributions by external managers) and using financial data based on the acquired company’s then latest publicly available financial statements prior to the announcement of the respective transaction (adjusted to reflect announced pre-closing adjustments):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to NAV per share of the acquired company; and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to LTM NII of the acquired company.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All Selected Transactions.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KBW’s analysis showed the following concerning the selected transactions (excluding the impact of the price-to-LTM NII multiples of five of the selected transactions, which multiples were considered to be not meaningful because they were either less than 0.0x or greater than 40.0x): </w:t>
      </w:r>
    </w:p>
    <w:tbl>
      <w:tblPr>
        <w:tblW w:w="7175" w:type="dxa"/>
        <w:jc w:val="left"/>
        <w:tblInd w:w="0" w:type="dxa"/>
        <w:tblLayout w:type="fixed"/>
        <w:tblCellMar>
          <w:top w:w="0" w:type="dxa"/>
          <w:left w:w="0" w:type="dxa"/>
          <w:bottom w:w="0" w:type="dxa"/>
          <w:right w:w="0" w:type="dxa"/>
        </w:tblCellMar>
      </w:tblPr>
      <w:tblGrid>
        <w:gridCol w:w="1790"/>
        <w:gridCol w:w="140"/>
        <w:gridCol w:w="140"/>
        <w:gridCol w:w="485"/>
        <w:gridCol w:w="140"/>
        <w:gridCol w:w="140"/>
        <w:gridCol w:w="740"/>
        <w:gridCol w:w="140"/>
        <w:gridCol w:w="140"/>
        <w:gridCol w:w="560"/>
        <w:gridCol w:w="140"/>
        <w:gridCol w:w="140"/>
        <w:gridCol w:w="635"/>
        <w:gridCol w:w="140"/>
        <w:gridCol w:w="140"/>
        <w:gridCol w:w="740"/>
        <w:gridCol w:w="140"/>
        <w:gridCol w:w="140"/>
        <w:gridCol w:w="545"/>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Transactions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75th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NAV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0.85x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0.96x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0.93x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1.00x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10.2x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11.0x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12.1x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30.6x</w:t>
            </w:r>
          </w:p>
        </w:tc>
      </w:tr>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then applied a range of price-to-NAV per share multiples of 0.85x to 1.00x derived from the 25th percentile and 75th percentile multiples of the selected transactions to the estimated Closing REFI NAV provided by LIEN. KBW also applied a range of price-to-LTM NII multiples of 8.2x to 12.1x derived from the 25th percentile and 75th percentile multiples of the selected transactions to the DE of REFI for the 12-month period ended March 31, 2026. This analysis indicated the following ranges of the implied value per share of REFI Common Stock, as compared to the implied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7966x1_n14_115-merger_pg33"/>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w:t>
      </w:r>
    </w:p>
    <w:tbl>
      <w:tblPr>
        <w:tblW w:w="8315" w:type="dxa"/>
        <w:jc w:val="left"/>
        <w:tblInd w:w="0" w:type="dxa"/>
        <w:tblLayout w:type="fixed"/>
        <w:tblCellMar>
          <w:top w:w="0" w:type="dxa"/>
          <w:left w:w="0" w:type="dxa"/>
          <w:bottom w:w="0" w:type="dxa"/>
          <w:right w:w="0" w:type="dxa"/>
        </w:tblCellMar>
      </w:tblPr>
      <w:tblGrid>
        <w:gridCol w:w="5615"/>
        <w:gridCol w:w="140"/>
        <w:gridCol w:w="140"/>
        <w:gridCol w:w="24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Share Ranges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REFI 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Estimated Closing REFI NAV provided by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$12.12 to $14.30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DE of REFI for the 12-month period ended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$15.55 to $22.93</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Selected Transactions Involving Affiliate Mergers.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KBW’s analysis also showed the following concerning the 21 selected transactions involving affiliate mergers (Horizon Technology Finance Corporation/Monroe Capital Corporation, Monroe Capital Income Plus Corporation/Monroe Capital Corporation, Portman Ridge Finance Corporation/Logan Ridge Finance Corporation, Blue Owl Technology Finance Corporation/Blue Owl Technology Finance Corporation II, Blue Owl Capital Corporation/Blue Owl Capital Corporation III, Carlyle Secured Lending, Inc./Carlyle Secured Lending III, North Haven Private Income Fund LLC/SL Investment Corp, Golub Capital BDC, Inc./Golub Capital BDC 3, Inc., Midcap Financial Investment Corp./Apollo Senior Floating Rate Fund Inc., Midcap Financial Investment Corp./Apollo Tactical Income Fund Inc., Franklin BSP Capital Corporation/Franklin BSP Lending Corporation, BlackRock TCP Capital Corp./BlackRock Capital Investment Corp., Oaktree Specialty Lending Corp./Oaktree Strategic Income II, Inc., SLR Investment Corp./SLR Senior Investment Corp., FS KKR Capital Corp./FS KKR Capital Corp. II, Oaktree Specialty Lending Corporation/Oaktree Strategic Income Corporation, Goldman Sachs BDC, Inc./GS Middle Market Lending Corp., FS Investment Corporation II/FS Investment Corporation III (and others), Golub Capital BDC, Inc./Golub Capital Investment Corporation, FS Investment Corp./Corporate Capital Trust, Inc., TCG BDC, Inc./NF Investment Corp.): </w:t>
      </w:r>
    </w:p>
    <w:tbl>
      <w:tblPr>
        <w:tblW w:w="7175" w:type="dxa"/>
        <w:jc w:val="left"/>
        <w:tblInd w:w="0" w:type="dxa"/>
        <w:tblLayout w:type="fixed"/>
        <w:tblCellMar>
          <w:top w:w="0" w:type="dxa"/>
          <w:left w:w="0" w:type="dxa"/>
          <w:bottom w:w="0" w:type="dxa"/>
          <w:right w:w="0" w:type="dxa"/>
        </w:tblCellMar>
      </w:tblPr>
      <w:tblGrid>
        <w:gridCol w:w="1790"/>
        <w:gridCol w:w="140"/>
        <w:gridCol w:w="140"/>
        <w:gridCol w:w="485"/>
        <w:gridCol w:w="140"/>
        <w:gridCol w:w="140"/>
        <w:gridCol w:w="740"/>
        <w:gridCol w:w="140"/>
        <w:gridCol w:w="140"/>
        <w:gridCol w:w="560"/>
        <w:gridCol w:w="140"/>
        <w:gridCol w:w="140"/>
        <w:gridCol w:w="635"/>
        <w:gridCol w:w="140"/>
        <w:gridCol w:w="140"/>
        <w:gridCol w:w="740"/>
        <w:gridCol w:w="140"/>
        <w:gridCol w:w="140"/>
        <w:gridCol w:w="545"/>
      </w:tblGrid>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Transactions Involving Affiliates </w:t>
            </w:r>
          </w:p>
        </w:tc>
      </w:tr>
      <w:tr>
        <w:trPr/>
        <w:tc>
          <w:tcPr>
            <w:tcW w:w="1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75th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NAV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0.89x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0.96x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0.95x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1.00x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8.6x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9.6x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10.3x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6" w:right="0" w:hanging="0"/>
              <w:jc w:val="left"/>
              <w:rPr>
                <w:rFonts w:ascii="Times New Roman;Times;serif" w:hAnsi="Times New Roman;Times;serif"/>
                <w:color w:val="000000"/>
                <w:sz w:val="20"/>
              </w:rPr>
            </w:pPr>
            <w:r>
              <w:rPr>
                <w:rFonts w:ascii="Times New Roman;Times;serif" w:hAnsi="Times New Roman;Times;serif"/>
                <w:color w:val="000000"/>
                <w:sz w:val="20"/>
              </w:rPr>
              <w:t>10.6x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20.2x</w:t>
            </w:r>
          </w:p>
        </w:tc>
      </w:tr>
      <w:tr>
        <w:trPr/>
        <w:tc>
          <w:tcPr>
            <w:tcW w:w="1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then applied a range of price-to-NAV per share multiples of 0.89x to 1.00x derived from the 25th percentile and 75th percentile multiples of the selected transactions involving affiliate mergers to the estimated Closing REFI NAV provided by LIEN. KBW also applied a range of price-to-LTM NII multiples of 8.6x to 10.6x derived from the 25th percentile and 75th percentile multiples of the selected transactions involving affiliate mergers to the DE of REFI for the 12-month period ended March 31, 2026. This analysis indicated the following ranges of the implied value per share of REFI Common Stock, as compared to the implied 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w:t>
      </w:r>
    </w:p>
    <w:tbl>
      <w:tblPr>
        <w:tblW w:w="8315" w:type="dxa"/>
        <w:jc w:val="left"/>
        <w:tblInd w:w="0" w:type="dxa"/>
        <w:tblLayout w:type="fixed"/>
        <w:tblCellMar>
          <w:top w:w="0" w:type="dxa"/>
          <w:left w:w="0" w:type="dxa"/>
          <w:bottom w:w="0" w:type="dxa"/>
          <w:right w:w="0" w:type="dxa"/>
        </w:tblCellMar>
      </w:tblPr>
      <w:tblGrid>
        <w:gridCol w:w="5615"/>
        <w:gridCol w:w="140"/>
        <w:gridCol w:w="140"/>
        <w:gridCol w:w="24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Share Ranges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REFI 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Estimated Closing REFI NAV provided by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2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$12.73 to $14.30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DE of REFI for the 12-month period ended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$16.16 to $20.07</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or transaction used as a comparison in the above selected transaction analysis is identical to REFI or the Merger. Accordingly, an analysis of these results is not mathematical. Rather, it involves complex considerations and judgments concerning differences in financial and operating characteristics of the companies involved.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 Discount Analysis of REFI.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performed a dividend discount analysis of REFI on a standalone basis to estimate ranges for the implied equity value of REFI. This analysis did not include the Koach Transaction. In this analysis, KBW used financial and operating forecasts and projections relating to DE and book value of REFI that were provided by REFI. KBW assumed discount rates ranging from 11.8% to 13.8%. Ranges of values were derived by adding (i) the present value of the estimated future dividends of REFI over the period from the assumed September 30, 2026 closing date of the Merger through December 31, 2029, and (ii) the present value of REFI’s implied terminal value at the end of such period. KBW derived implied terminal values using two methodologies, one based on estimated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7966x1_n14_115-merger_pg34"/>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December 31, 2029 book value per share multiples and the other based on estimated calendar year 2029 dividend yields. Using implied terminal values for REFI calculated by applying a terminal multiple range of 0.50x to 0.90x to REFI’s estimated book value per share as of December 31, 2029, this analysis resulted in a range of implied values per share of REFI Common Stock of approximately $9.63 to $13.98, as compared to the implied transaction value for the Merger of $10.82 per outstanding share of REFI Common Stock (based on the assumed 1.0849x Exchange Ratio in the Merger and the closing price of LIEN Common Stock on June 15, 2026) and also as compared to the implied transaction value for the Merger of $14.30 per outstanding share of REFI Common Stock (based on the estimated Closing REFI NAV and the estimated Closing LIEN NAV provided by LIEN). Using implied terminal values for REFI calculated by applying a terminal dividend yield range of 10.5% to 14.5% to REFI’s estimated calendar year 2029 dividends, this analysis resulted in a range of implied values per share of REFI Common Stock of approximately $13.50 to $17.58, as compared to the implied transaction value for the Merger of $10.82 per outstanding share of REFI Common Stock and also as compared to the implied transaction value for the Merger of $14.30 per outstanding share of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book value per share and dividend per share assumptions, terminal values and discount rates. The analysis did not purport to be indicative of the actual values or expected values of REFI.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 Discount Analysis of LIEN.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performed a dividend discount analysis of LIEN on a standalone basis to estimate ranges for the implied equity value of LIEN. In this analysis, KBW used financial and operating forecasts and projections relating to dividends and net assets of LIEN that were provided by LIEN. KBW assumed discount rates ranging from 11.3% to 13.3%. Ranges of values were derived by adding (i) the present value of the estimated future dividends of LIEN over the period from the assumed September 30, 2026 closing date of the Merger through December 31, 2029, and (ii) the present value of LIEN’s implied terminal value at the end of such period. KBW derived implied terminal values using two methodologies, one based on estimated December 31, 2029 NAV per share multiples and the other based on estimated calendar year 2029 dividend yields. Using implied terminal values for LIEN calculated by applying a terminal multiple range of 0.50x to 0.90x to LIEN’s estimated NAV per share as of December 31, 2029, this analysis resulted in a range of implied values per share of LIEN Common Stock of approximately $8.88 to $13.03. Using implied terminal values for LIEN calculated by applying a terminal dividend yield range of 11.5% to 15.5% to LIEN’s estimated calendar year 2029 dividends, this analysis resulted in a range of implied values per share of LIEN Common Stock of approximately $12.18 to $15.62.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NAV per share and dividend per share assumptions, terminal values and discount rates. The analysis did not purport to be indicative of the actual values or expected values of LIEN or the pro forma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Illustrative Pro Forma Combined Dividend Discount Analysis.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performed an illustrative dividend discount analysis of the pro forma combined company to estimate ranges for the implied equity value of the pro forma combined company. This analysis did not include the Koach Transaction. In this analysis, KBW used financial and operating forecasts and projections relating to dividends and net assets of LIEN and DE and book value of REFI, on a combined basis reflecting pro forma assumptions (including, without limitation, the cost savings and operating synergies expected to result from the Merger), all of which forecasts and projections were provided by LIEN or, in the case of financial and operating forecasts and projections relating to distributable earning and book value of REFI, by REFI. KBW assumed discount rates ranging from 10.5% to 12.5%. Ranges of values were derived by adding (i) the present value of the estimated future dividends of the pro forma combined company over the period from the assumed September 30, 2026 closing date of the Merger through December 31, 2029, and (ii) the present value of the pro forma combined company’s implied terminal value at the end of such period. KBW derived implied terminal values using two methodologies, one based on December 31, 2029 estimated NAV per share multiples and the other based on calendar year 2029 estimated dividend yields. Using implied terminal values for the pro forma combined company calculated by applying a terminal multiple range of 0.50x to 0.90x to the pro forma combined company’s estimated NAV per share as of December 31, 2029, this analysis resulted in a range of implied values per share of the pro forma combined company’s common stock of approximately $9.53 to $13.77. Using implied terminal values for the pro forma combined company calculated by applying a terminal dividend yield range of 11.5% to 15.5% to the pro forma combined company’s calendar year 2029 estimated dividends, this analysis resulted in a range of implied values per share of the pro forma combined company’s common stock of approximately $14.08 to $18.12.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7966x1_n14_115-merger_pg35"/>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NAV per share and dividend per share assumptions, terminal values and discount rates. The analysis did not purport to be indicative of the actual values or expected values of LIEN or the pro forma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Relative Contribution Analysis</w:t>
      </w:r>
      <w:r>
        <w:rPr>
          <w:rFonts w:ascii="Times New Roman;Times;serif" w:hAnsi="Times New Roman;Times;serif"/>
          <w:b/>
          <w:i w:val="false"/>
          <w:caps w:val="false"/>
          <w:smallCaps w:val="false"/>
          <w:color w:val="000000"/>
          <w:sz w:val="20"/>
        </w:rPr>
        <w: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analyzed the relative standalone contribution of LIEN and REFI to various pro forma balance sheet and income statement items of the combined entity. This analysis did not include the Koach Transaction, cost savings or operating synergies. To perform this analysis, KBW used historical reported financial data of LIEN and REFI as of March 31, 2026, financial forecasts and projections of LIEN provided by LIEN and financial forecasts and projections of REFI provided by REFI. The results of KBW’s analysis are set forth in the following table, which also compares the results of KBW’s analysis with the implied pro forma ownership percentages of LIEN Shareholders and REFI Shareholders in the combined company based on the assumed 1.0849x Exchange Ratio in the Merger of 1.0849x: </w:t>
      </w:r>
    </w:p>
    <w:tbl>
      <w:tblPr>
        <w:tblW w:w="6980" w:type="dxa"/>
        <w:jc w:val="left"/>
        <w:tblInd w:w="0" w:type="dxa"/>
        <w:tblLayout w:type="fixed"/>
        <w:tblCellMar>
          <w:top w:w="0" w:type="dxa"/>
          <w:left w:w="0" w:type="dxa"/>
          <w:bottom w:w="0" w:type="dxa"/>
          <w:right w:w="0" w:type="dxa"/>
        </w:tblCellMar>
      </w:tblPr>
      <w:tblGrid>
        <w:gridCol w:w="4985"/>
        <w:gridCol w:w="140"/>
        <w:gridCol w:w="140"/>
        <w:gridCol w:w="710"/>
        <w:gridCol w:w="140"/>
        <w:gridCol w:w="140"/>
        <w:gridCol w:w="725"/>
      </w:tblGrid>
      <w:tr>
        <w:trPr/>
        <w:tc>
          <w:tcPr>
            <w:tcW w:w="4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4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 %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 %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Ownership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Assumed Exchange Ratio in the Merger of 1.0849x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49.5%</w:t>
            </w:r>
          </w:p>
        </w:tc>
      </w:tr>
      <w:tr>
        <w:trPr/>
        <w:tc>
          <w:tcPr>
            <w:tcW w:w="498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Sheet Data as of March 31, 2026(1)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45.9%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Asset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49.5%</w:t>
            </w:r>
          </w:p>
        </w:tc>
      </w:tr>
      <w:tr>
        <w:trPr/>
        <w:tc>
          <w:tcPr>
            <w:tcW w:w="4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Income Statement Data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FY2026E Earnings(2)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45.5% </w:t>
            </w:r>
          </w:p>
        </w:tc>
      </w:tr>
      <w:tr>
        <w:trPr/>
        <w:tc>
          <w:tcPr>
            <w:tcW w:w="49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FY2027E Earnings(2)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46.5%</w:t>
            </w:r>
          </w:p>
        </w:tc>
      </w:tr>
      <w:tr>
        <w:trPr/>
        <w:tc>
          <w:tcPr>
            <w:tcW w:w="4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Given REFI’s status as a REIT, REFI reported book value as opposed to NAV. REFI total assets, REFI investments at fair value, and REFI NAV adjusted for REFI CECL reserve reversal, REFI fair value adjustment, and REFI estimated transaction expenses. </w:t>
            </w:r>
          </w:p>
        </w:tc>
      </w:tr>
    </w:tbl>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Reflected estimated distributable earnings for REFI and estimated net investment income for LIEN.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Illustrative Potential NII and Dividend Per Share Accretion.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Using financial and operating forecasts and projections of LIEN, on a standalone basis, and financial and operating forecasts and projections of LIEN and REFI, on a combined basis reflecting pro forma assumptions (including, without limitation, the cost savings and operating synergies expected to result from the Merger), all of which forecasts and projections were provided by LIEN or, in the case of financial and operating forecasts and projections of REFI, by REFI, KBW analyzed the potential financial impact of the transaction on certain projected pro forma financial results of LIEN. This analysis did not include the Koach Transaction. This analysis indicated the Merger could be accretive to LIEN’s estimated NII and estimated dividends per share in each of the calendar years 2027, 2028 and 2029. For all of the above analysis, the actual results achieved by LIEN following the Merger may vary from the projected results, and the variations may be material.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Miscellaneous.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KBW acted as financial advisor to the LIEN Special Committee in connection with the Merger and did not act as an advisor to or agent of any other person. As part of its investment banking business, KBW is regularly engaged in the valuation of BDC and other specialty finance company securities in connection with acquisitions, negotiated underwritings, secondary distributions of listed and unlisted securities, private placements and valuations for various other purposes. In the ordinary course of KBW’s and its affiliates’ broker-dealer businesses, KBW and its affiliates may from time to time purchase securities from, and sell securities to, LIEN and REFI. In addition, as market makers in securities, KBW and its affiliates may from time to time have a long or short position in, and buy or sell, debt or equity securities of LIEN or REFI for its and their own respective accounts and for the accounts of its and their respective customers and clients.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KBW engagement agreement, LIEN agreed to pay KBW a cash fee equal to $2,000,000, $300,000 of which became payable with the rendering of KBW’s opinion and the balance of which is contingent upon the closing of the Merger. LIEN also agreed to reimburse KBW for reasonable out-of-pocket expenses and disbursements incurred in connection with its engagement and to indemnify KBW against certain liabilities relating to or arising out of KBW’s engagement or KBW’s role in connection therewith. In addition to the present engagement, in the two years preceding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7966x1_n14_115-merger_pg36"/>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date of KBW’s opinion, KBW provided investment banking and financial advisory services to LIEN and received compensation for such services. KBW advised a special committee of the LIEN Board in connection with LIEN’s October 2024 purchase of certain assets from Chicago Atlantic Loan Portfolio, LLC. In the two years preceding the date of KBW’s opinion, KBW did not provide investment banking or financial advisory services to LIEN Adviser, REFI or REFI Manager. KBW may in the future provide investment banking and financial advisory services to LIEN, LIEN Adviser, REFI, REFI Manager or Chicago Atlantic, which is an affiliate of both LIEN Adviser and REFI Manager, and receive compensation for such services.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the REFI Special Committee’s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Special Committee retained Oppenheimer to act as its financial advisor in connection with the Merger. Oppenheimer is a full-service investment banking and financial services firm and is regularly engaged in the valuation of businesses and their securities in connection with mergers and acquisitions, underwritings, secondary distributions of securities, private placements and valuations for other purposes. The REFI Special Committee selected Oppenheimer to act as its financial advisor based on, among other factors, Oppenheimer’s experience advising special committees in related party transactions, its experience in the cannabis industry and the BDC and REIT sectors, its qualifications, and its independence from REFI, LIEN, REFI Manager and LIEN Adviser.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at a meeting of the REFI Special Committee held to evaluate the Merger, Oppenheimer rendered its oral opinion to the REFI Special Committee, and subsequently confirmed such oral opinion by delivery of a written opinion, dated June 17, 2026, to the effect that, as of such date and based upon and subject to the various assumptions, limitations, qualifications and other matters described in its opinion, the Exchange Ratio provided for in the Merger was fair, from a financial point of view, to the shareholders of REFI (other than REFI Manager, LIEN, LIEN Adviser and any of their respective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opinion set forth herein is qualified in its entirety by reference to the full text of the opinion, which is attached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joint proxy statement/prospectus and is incorporated herein by reference, and describes the procedures followed, assumptions made, matters considered, and qualifications and limitations on the review undertaken by Oppenheimer in preparing the opinion.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Oppenheimer’s opinion speaks only as of the date of the opinion. The opinion was for the information of, and was directed to, the REFI Special Committee (in its capacity as such) and, as requested by the REFI Special Committee, the REFI Board (in its capacity as such) in connection with their respective consideration of the financial terms of the Merger. The opinion addressed only the fairness, from a financial point of view, of the Exchange Ratio to the shareholders of REFI (other than REFI Manager, LIEN, LIEN Adviser and any of their respective Affiliates). The opinion did not address the underlying business decision of REFI to engage in the Merger or enter into the Merger Agreement or constitute a recommendation to the REFI Special Committee or the REFI Board in connection with the Merger Agreement, and it does not constitute a recommendation to any holder of REFI Common Stock or any shareholder of any other entity as to how to vote or act in connection with the Merger or any other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REFI and with the consent of the REFI Special Committee, Oppenheimer assumed, without independent verification, for purposes of its analyses and opinion, that (i) the adjusted NAV per share of REFI Common Stock as of March 31, 2026 was $14.30 and the adjusted NAV per share of LIEN Common Stock as of March 31, 2026 was $13.18, in each case adjusted in accordance with the valuation methodology set forth on Exhibit A to the Merger Agreement (collectively, the “Adjusted March 31 NAVs”) and (ii) based on such Adjusted March 31 NAVs, the Exchange Ratio was 1.0851x. Oppenheimer further assumed that the finally calculated Closing REFI NAV and Closing LIEN NAV would not differ materially from the Adjusted March 31 NAVs.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opinion, Oppenheimer reviewed, analyzed and relied upon material bearing upon the financial and operating condition of REFI and LIEN and bearing upon the Merger, including, among other things: </w:t>
      </w:r>
    </w:p>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dated June 16, 2026,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financial information relating to REFI and LIEN that Oppenheimer deemed to be relevant, including each of REFI’s and LIEN’s respective Quarterly Report on Form 10-Q for the fiscal quarter ended March 31, 2026 and Annual Reports on Form 10-K for the fiscal years ended December 31, 2025 and December 31, 2024;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discussions with the senior management of REFI and LIEN conducted by Oppenheimer with respect to the business, financial condition, results of operations, forecast and loan portfolio of each;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7966x1_n14_115-merger_pg37"/>
        <w:bookmarkEnd w:id="1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internal financial and operating information of REFI and LIEN, including financial forecasts and estimates relating to REFI and LIEN on a standalone basis and pro forma giving effect to the Merger, prepared by management of REFI and LIEN and approved for Oppenheimer’s use by the REFI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materials prepared by REFI and its advisors in connection with the REFI Board’s and REFI Special Committee’s consideration of the Merger, including materials provided in connection with their respective determinations under Rule 17a-8 under the 1940 Act; </w:t>
            </w:r>
          </w:p>
        </w:tc>
      </w:tr>
    </w:tbl>
    <w:tbl>
      <w:tblPr>
        <w:tblW w:w="10030" w:type="dxa"/>
        <w:jc w:val="left"/>
        <w:tblInd w:w="0" w:type="dxa"/>
        <w:tblLayout w:type="fixed"/>
        <w:tblCellMar>
          <w:top w:w="0" w:type="dxa"/>
          <w:left w:w="0" w:type="dxa"/>
          <w:bottom w:w="0" w:type="dxa"/>
          <w:right w:w="0" w:type="dxa"/>
        </w:tblCellMar>
      </w:tblPr>
      <w:tblGrid>
        <w:gridCol w:w="110"/>
        <w:gridCol w:w="9920"/>
      </w:tblGrid>
      <w:tr>
        <w:trPr/>
        <w:tc>
          <w:tcPr>
            <w:tcW w:w="110" w:type="dxa"/>
            <w:tcBorders/>
            <w:vAlign w:val="center"/>
          </w:tcPr>
          <w:p>
            <w:pPr>
              <w:pStyle w:val="TableContents"/>
              <w:bidi w:val="0"/>
              <w:spacing w:before="0" w:after="0"/>
              <w:jc w:val="left"/>
              <w:rPr>
                <w:color w:val="000000"/>
              </w:rPr>
            </w:pPr>
            <w:r>
              <w:rPr>
                <w:color w:val="000000"/>
              </w:rPr>
              <w:t>•</w:t>
            </w:r>
          </w:p>
        </w:tc>
        <w:tc>
          <w:tcPr>
            <w:tcW w:w="99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internal and independent third-party valuations for the respective loan portfolios of REFI and LIEN as of March 31,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Adjusted March 31 NAVs, which resulted in an adjusted NAV per share of REFI Common Stock of $14.30 and an adjusted NAV per share of LIEN Common Stock of $13.18, and an illustrative Exchange Ratio of 1.0851x; </w:t>
            </w:r>
          </w:p>
        </w:tc>
      </w:tr>
    </w:tbl>
    <w:tbl>
      <w:tblPr>
        <w:tblW w:w="8695" w:type="dxa"/>
        <w:jc w:val="left"/>
        <w:tblInd w:w="0" w:type="dxa"/>
        <w:tblLayout w:type="fixed"/>
        <w:tblCellMar>
          <w:top w:w="0" w:type="dxa"/>
          <w:left w:w="0" w:type="dxa"/>
          <w:bottom w:w="0" w:type="dxa"/>
          <w:right w:w="0" w:type="dxa"/>
        </w:tblCellMar>
      </w:tblPr>
      <w:tblGrid>
        <w:gridCol w:w="110"/>
        <w:gridCol w:w="8585"/>
      </w:tblGrid>
      <w:tr>
        <w:trPr/>
        <w:tc>
          <w:tcPr>
            <w:tcW w:w="11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publicly available information relating to REFI and LIEN that Oppenheimer deemed to be relevant;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current and historical market prices for REFI Common Stock and LIEN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publicly available market and financial information of certain publicly traded commercial mortgage REITs and BDCs that Oppenheimer deemed to be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publicly available financial terms of certain precedent merger and acquisition transactions of certain commercial mortgage REITs and BDCs that Oppenheimer deemed to be relevant; and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financial information, studies, analyses and inquiries as Oppenheimer deemed appropriate.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Oppenheimer’s consideration of financial information and other factors that it deemed appropriate under the circumstances or relevant to its analyses included, among others, the following: </w:t>
      </w:r>
    </w:p>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and current financial position and results of operations of REFI and LIEN;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assets and liabilities of REFI and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and terms of certain other merger transactions and business combinations in the commercial mortgage REIT and BDC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comparison of certain financial and stock market information of REFI and LIEN with similar information for certain other companies, the securities of which are publicly traded;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and operating forecasts and projections of REFI and LIEN, on a standalone basis and on a combined basis, prepared by management of REFI and LIEN, provided to Oppenheimer and discussed with Oppenheimer by such management, and used and relied upon by Oppenheimer at the direction of REFI and with the consent of the REFI Special Committee.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also performed such other studies and analyses as it considered appropriate and took into account its assessment of general economic, market and financial conditions and its experience in other transactions, as well as its experience in securities valuation and knowledge of the commercial mortgage REIT and BDC industries generally. Oppenheimer also participated in discussions with management of REFI and LIEN regarding the respective past and current business operations, regulatory relations, financial condition and future prospects of REFI and LIEN and such other matters as Oppenheimer deemed relevant to its inquiry.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conducting its review and arriving at its opinion, Oppenheimer relied upon and assumed the accuracy and completeness of all of the financial and other information provided to or discussed with Oppenheimer or that was publicly available and did not independently verify the accuracy or completeness of any such information or assume any responsibility or liability for such verification, accuracy or completeness. With respect to the financial forecasts and estimates it reviewed, Oppenheimer assumed, at the direction of management of REFI and LIEN and with the REFI Special Committee’s and the REFI Board’s consent, without independent verification, that such forecasts and estimates were reasonably prepared on bases reflecting the best available information, estimates and judgments of management of REFI and LIEN as to the future financial condition and operating results of REFI and LIEN. Oppenheimer also assumed that there were no material changes in the assets, liabilities, financial conditions, results of operations, business or prospects of REFI or LIEN since the respective dates of the last financial statements of REFI or LIEN that were made available to Oppenheimer. Oppenheimer further assumed that the calculation of the Adjusted March 31 NAVs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7966x1_n14_115-merger_pg38"/>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performed in a manner materially consistent with how the Closing REFI NAV and the Closing LIEN NAV will be calculated in accordance with the Merger Agreement (including Exhibit A thereto) and that the finally calculated Closing REFI NAV and Closing LIEN NAV will not differ materially from the Adjusted March 31 NAVs. Oppenheimer neither made nor obtained any independent evaluations or appraisals of the assets or liabilities, contingent or otherwise, of REFI or LIEN, other than as described above with respect to its review of the internal and independent third-party valuations for the respective loan portfolios.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also assumed, with the consent of the REFI Special Committee and the REFI Board, that: (a) the representations and warranties of all parties to the Merger Agreement and all other related documents and instruments referred to in the Merger Agreement are true and correct; (b) each party to the Merger Agreement and such other related documents and instruments will fully and timely perform all of the covenants and agreements required to be performed by such party; (c) all conditions to the consummation of the Merger and related transactions (together, the “Transactions”) will be satisfied without waiver thereof; (d) the Transactions will be consummated in a manner that complies with the applicable provisions of the Securities Act, the Exchange Act, the 1940 Act, and all other applicable federal and state statutes, rules and regulations; (e) the BDC Election will be completed prior to the Merger in accordance with the terms of the Merger Agreement; (f) the Transactions will be consummated in accordance with the terms described in the Merger Agreement without any waiver, modification or amendment of any material term, condition or agreement; (g) in the course of obtaining the necessary regulatory or third-party approvals, consents and releases with respect to the Transactions, no delay, limitation, restriction or condition will be imposed that would result in the disposition of any assets of REFI or LIEN or otherwise have an adverse effect on the Transactions, REFI, LIEN or any of the expected benefits of the Transactions that would be material to Oppenheimer’s analysis or its opinion; (h) shares of LIEN Common Stock to be issued in the Merger to holders of REFI Common Stock will be listed on the NASDAQ immediately following the consummation of the Transactions; and (i) the Merger will qualify as a “reorganization” within the meaning of Section 368(a) of the Code, or otherwise result in no gain or loss being recognized by holders of REFI Common Stock for U.S. federal income tax purposes with respect to the receipt of LIEN Common Stock in the Merger. Oppenheimer also relied upon and assumed, without independent verification, that the final form of the Merger Agreement would not differ from the draft reviewed by Oppenheimer in any respect material to its analyses or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Oppenheimer’s opinion only addressed the fairness, from a financial point of view, to the shareholders of REFI (other than REFI Manager, LIEN, LIEN Adviser and any of their respective Affiliates) of the Exchange Ratio (as specified in the opinion) and did not address any other aspect or implication of the Transactions. Oppenheimer’</w:t>
      </w:r>
      <w:r>
        <w:rPr>
          <w:rFonts w:ascii="Times New Roman;Times;serif" w:hAnsi="Times New Roman;Times;serif"/>
          <w:b/>
          <w:color w:val="000000"/>
          <w:sz w:val="20"/>
        </w:rPr>
        <w:t>s</w:t>
      </w:r>
      <w:r>
        <w:rPr>
          <w:rFonts w:ascii="Times New Roman;Times;serif" w:hAnsi="Times New Roman;Times;serif"/>
          <w:color w:val="000000"/>
          <w:sz w:val="20"/>
        </w:rPr>
        <w:t xml:space="preserve"> opinion does not address the underlying valuation, future performance or long-term viability of REFI or LIEN or the price at which REFI Common Stock or LIEN Common Stock will trade at any time. Oppenheimer expressed no view as to, and its opinion did not address: (i) the fairness of any portion or aspect of the Transactions to any holder of any class of securities, creditors or other constituencies of REFI or to any other party to the Merger Agreement other than as set forth in the opinion (including, without limitation, the holders of LIEN Common Stock); (ii) the fairness of any portion or aspect of the Transactions to any one class or group of REFI’</w:t>
      </w:r>
      <w:r>
        <w:rPr>
          <w:rFonts w:ascii="Times New Roman;Times;serif" w:hAnsi="Times New Roman;Times;serif"/>
          <w:b/>
          <w:color w:val="000000"/>
          <w:sz w:val="20"/>
        </w:rPr>
        <w:t>s</w:t>
      </w:r>
      <w:r>
        <w:rPr>
          <w:rFonts w:ascii="Times New Roman;Times;serif" w:hAnsi="Times New Roman;Times;serif"/>
          <w:color w:val="000000"/>
          <w:sz w:val="20"/>
        </w:rPr>
        <w:t xml:space="preserve"> or any other party’</w:t>
      </w:r>
      <w:r>
        <w:rPr>
          <w:rFonts w:ascii="Times New Roman;Times;serif" w:hAnsi="Times New Roman;Times;serif"/>
          <w:b/>
          <w:color w:val="000000"/>
          <w:sz w:val="20"/>
        </w:rPr>
        <w:t>s</w:t>
      </w:r>
      <w:r>
        <w:rPr>
          <w:rFonts w:ascii="Times New Roman;Times;serif" w:hAnsi="Times New Roman;Times;serif"/>
          <w:color w:val="000000"/>
          <w:sz w:val="20"/>
        </w:rPr>
        <w:t xml:space="preserve"> securityholders or other constituents vis-à-vis any other class or group of REFI’</w:t>
      </w:r>
      <w:r>
        <w:rPr>
          <w:rFonts w:ascii="Times New Roman;Times;serif" w:hAnsi="Times New Roman;Times;serif"/>
          <w:b/>
          <w:color w:val="000000"/>
          <w:sz w:val="20"/>
        </w:rPr>
        <w:t>s</w:t>
      </w:r>
      <w:r>
        <w:rPr>
          <w:rFonts w:ascii="Times New Roman;Times;serif" w:hAnsi="Times New Roman;Times;serif"/>
          <w:color w:val="000000"/>
          <w:sz w:val="20"/>
        </w:rPr>
        <w:t xml:space="preserve"> or such party’</w:t>
      </w:r>
      <w:r>
        <w:rPr>
          <w:rFonts w:ascii="Times New Roman;Times;serif" w:hAnsi="Times New Roman;Times;serif"/>
          <w:b/>
          <w:color w:val="000000"/>
          <w:sz w:val="20"/>
        </w:rPr>
        <w:t>s</w:t>
      </w:r>
      <w:r>
        <w:rPr>
          <w:rFonts w:ascii="Times New Roman;Times;serif" w:hAnsi="Times New Roman;Times;serif"/>
          <w:color w:val="000000"/>
          <w:sz w:val="20"/>
        </w:rPr>
        <w:t xml:space="preserve"> securityholders or other constituents, including the allocation of any consideration amongst or within such classes or groups; (iii) the fairness of the amount or nature of the compensation resulting from the Transactions to any individual officers, directors or employees of REFI or LIEN, or any class of such persons, relative to the Exchange Ratio or otherwise; (iv) the appropriate capital structure of REFI, whether REFI should be issuing debt or equity securities or a combination thereof in connection with the Transactions, or the form, structure or any terms of any debt or equity financing for the Transactions; (v) the tax consequences of the Transactions to any holder of REFI Common Stock; (vi) the trading price of LIEN Common Stock following consummation of the Transactions; (vii) any aspect of the transactions contemplated by any support agreement, manager agreement, advisory agreement or other ancillary document entered into in connection with the Merger Agreement; (viii) whether or not REFI or LIEN or their respective securityholders or any other party is receiving or paying reasonably equivalent value in the Transactions; (ix) the underlying business decision of REFI or any other party to enter into the Merger Agreement or to proceed with or consummate the Transactions, nor did the opinion address the relative merits of the Transactions as compared to any alternative business strategies that might exist for REFI or the effect of any other transaction in which REFI or any other party might engage; or (x) any legal, regulatory, accounting, tax or similar matters relating to REFI, LIEN or any of their respective shareholders, or arising out of or as a consequence of the Merger or any other related transaction, including whether or not the Merger will qualify as a “reorganization” within the meaning of Section 368(a) of the Code. Oppenheimer was not requested to, and at the direction of the REFI Special Committee did not, initiate or participate in any discussions or negotiations with, or solicit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7966x1_n14_115-merger_pg39"/>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indications of interest from, third parties with respect to the securities, assets, business or operations of REFI or any other party to the Merger Agreement, or any alternatives to the Transactions, and Oppenheimer expresses no view or opinion as to any such matters, including the terms that could have been obtained if any of the foregoing had been undertaken. Oppenheimer is not a legal, tax, regulatory or accounting advisor and has relied on the assessments made by REFI and its advisors with respect to such matters; Oppenheimer’</w:t>
      </w:r>
      <w:r>
        <w:rPr>
          <w:rFonts w:ascii="Times New Roman;Times;serif" w:hAnsi="Times New Roman;Times;serif"/>
          <w:b/>
          <w:color w:val="000000"/>
          <w:sz w:val="20"/>
        </w:rPr>
        <w:t>s</w:t>
      </w:r>
      <w:r>
        <w:rPr>
          <w:rFonts w:ascii="Times New Roman;Times;serif" w:hAnsi="Times New Roman;Times;serif"/>
          <w:color w:val="000000"/>
          <w:sz w:val="20"/>
        </w:rPr>
        <w:t xml:space="preserve"> opinion does not address any legal, tax, regulatory or accounting matters. Oppenheimer’s opinion does not constitute a solvency opinion or a fair value opinion, and Oppenheimer has not evaluated the solvency or fair value of REFI or LIEN under any federal or state laws relating to bankruptcy, insolvency or similar matters or otherwise. Oppenheimer’</w:t>
      </w:r>
      <w:r>
        <w:rPr>
          <w:rFonts w:ascii="Times New Roman;Times;serif" w:hAnsi="Times New Roman;Times;serif"/>
          <w:b/>
          <w:color w:val="000000"/>
          <w:sz w:val="20"/>
        </w:rPr>
        <w:t>s</w:t>
      </w:r>
      <w:r>
        <w:rPr>
          <w:rFonts w:ascii="Times New Roman;Times;serif" w:hAnsi="Times New Roman;Times;serif"/>
          <w:color w:val="000000"/>
          <w:sz w:val="20"/>
        </w:rPr>
        <w:t xml:space="preserve"> opinion was necessarily based on the information available to it and general economic, financial and stock market conditions and circumstances as they existed and could be evaluated as of the date of the opinion. Oppenheimer did not have any obligation to update, revise or reaffirm its opinion without the prior request of the REFI Special Committee.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Oppenheimer’s opinion was approved by an authorized committee of Oppenheimer.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presented by Oppenheimer to the REFI Special Committee and the REFI Board in connection with its opinion. The summary is not a complete description of the financial analyses underlying the opinion or the presentation made by Oppenheimer to the REFI Special Committee and the REFI Board,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Oppenheimer did not attribute any particular weight to any analysis or factor that it considered, but rather made qualitative judgments as to the significance and relevance of each analysis and factor. Accordingly, Oppenheimer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Implied Exchange Ratio Calculation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calculated the illustrative Exchange Ratio used for purposes of its opinion based on the Adjusted March 31 NAVs. Oppenheimer calculated an adjusted NAV per share of REFI Common Stock of $14.30, derived from REFI’s reported book value per share of $14.39 as of March 31, 2026, adjusted for a reversal of REFI’s current expected credit loss reserve, a fair value adjustment to reflect REFI’s loan portfolio at fair value in accordance with ASC 820 and ASC 946, estimated transaction expenses to be borne by REFI, and the Manager’s $2,000,000 expense reimbursement. Oppenheimer calculated an adjusted NAV per share of LIEN Common Stock of $13.18, derived from LIEN’s reported NAV per share of $13.33 as of March 31, 2026, adjusted for estimated transaction expenses to be borne by LIEN. The resulting illustrative Exchange Ratio was 1.0851x (the ratio of $14.30 divided by $13.18).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 Comparable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Using publicly available information, Oppenheimer reviewed the market performance of certain publicly traded companies that Oppenheimer deemed relevant for comparative purposes. For purposes of its analysis of REFI, Oppenheimer considered select externally managed commercial mortgage REITs with market capitalization of less than $750 million and select cannabis-focused peers For purposes of its analysis of LIEN, Oppenheimer considered select externally managed BDCs with market capitalization of less than $750 million and select cannabis-focused peers.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perform this analysis, Oppenheimer used market price information as of June 12, 2026 and reported book value per share (for commercial mortgage REITs) or NAV per share (for BDCs) data as of the most recent completed quarterly period. Oppenheimer applied valuation multiples derived from the comparable companies to the corresponding financial metrics of REFI and LIEN to derive implied value per share reference ranges for each, and then calculated implied exchange ratio reference ranges by dividing the low end of the REFI implied share price range by the high end of the LIEN implied share price range (to calculate the low end of the implied exchange ratio range) and dividing the high end of the REFI implied share price range by the low end of the LIEN implied share price range (to calculate the high end of the implied exchange ratio range).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7966x1_n14_115-merger_pg40"/>
        <w:bookmarkEnd w:id="123"/>
        <w:r>
          <w:rPr>
            <w:rStyle w:val="InternetLink"/>
            <w:rFonts w:ascii="Times New Roman;Times;Serif" w:hAnsi="Times New Roman;Times;Serif"/>
            <w:b/>
            <w:caps w:val="false"/>
            <w:smallCaps w:val="false"/>
            <w:color w:val="000000"/>
            <w:sz w:val="16"/>
          </w:rPr>
          <w:t>TABLE OF CONTENTS</w:t>
        </w:r>
      </w:hyperlink>
    </w:p>
    <w:tbl>
      <w:tblPr>
        <w:tblW w:w="5135" w:type="dxa"/>
        <w:jc w:val="left"/>
        <w:tblInd w:w="0" w:type="dxa"/>
        <w:tblLayout w:type="fixed"/>
        <w:tblCellMar>
          <w:top w:w="0" w:type="dxa"/>
          <w:left w:w="0" w:type="dxa"/>
          <w:bottom w:w="0" w:type="dxa"/>
          <w:right w:w="0" w:type="dxa"/>
        </w:tblCellMar>
      </w:tblPr>
      <w:tblGrid>
        <w:gridCol w:w="5135"/>
      </w:tblGrid>
      <w:tr>
        <w:trPr/>
        <w:tc>
          <w:tcPr>
            <w:tcW w:w="5135" w:type="dxa"/>
            <w:tcBorders/>
            <w:vAlign w:val="center"/>
          </w:tcPr>
          <w:p>
            <w:pPr>
              <w:pStyle w:val="TableContents"/>
              <w:bidi w:val="0"/>
              <w:spacing w:before="0" w:after="0"/>
              <w:jc w:val="left"/>
              <w:rPr/>
            </w:pPr>
            <w:r>
              <w:rPr/>
              <w:t> </w:t>
            </w:r>
          </w:p>
        </w:tc>
      </w:tr>
      <w:tr>
        <w:trPr/>
        <w:tc>
          <w:tcPr>
            <w:tcW w:w="51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REFI:</w:t>
            </w:r>
          </w:p>
        </w:tc>
      </w:tr>
      <w:tr>
        <w:trPr/>
        <w:tc>
          <w:tcPr>
            <w:tcW w:w="51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Commercial Mortgage REITs (in alphabetical order)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ACRES Commercial Realty Corp.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Ares Commercial Real Estate Corporation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Claros Mortgage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Franklin BSP Realty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KKR Real Estate Finance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Lument Finance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NexPoint Real Estate Finance,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Ready Capital Corporation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Seven Hills Realty Trust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Sunrise Realty Trust,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TPG RE Finance Trust, Inc. </w:t>
            </w:r>
          </w:p>
        </w:tc>
      </w:tr>
      <w:tr>
        <w:trPr/>
        <w:tc>
          <w:tcPr>
            <w:tcW w:w="51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Cannabis-Focused Peers (in alphabetical order)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Advanced Flower Capital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Innovative Industrial Properties, Inc. </w:t>
            </w:r>
          </w:p>
        </w:tc>
      </w:tr>
      <w:tr>
        <w:trPr/>
        <w:tc>
          <w:tcPr>
            <w:tcW w:w="51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NewLake Capital Partners, Inc.</w:t>
            </w:r>
          </w:p>
        </w:tc>
      </w:tr>
      <w:tr>
        <w:trPr/>
        <w:tc>
          <w:tcPr>
            <w:tcW w:w="5135" w:type="dxa"/>
            <w:tcBorders/>
            <w:vAlign w:val="center"/>
          </w:tcPr>
          <w:p>
            <w:pPr>
              <w:pStyle w:val="TableContents"/>
              <w:bidi w:val="0"/>
              <w:spacing w:before="0" w:after="0"/>
              <w:jc w:val="left"/>
              <w:rPr/>
            </w:pPr>
            <w:r>
              <w:rPr/>
              <w:t> </w:t>
            </w:r>
          </w:p>
        </w:tc>
      </w:tr>
    </w:tbl>
    <w:tbl>
      <w:tblPr>
        <w:tblW w:w="5885" w:type="dxa"/>
        <w:jc w:val="left"/>
        <w:tblInd w:w="0" w:type="dxa"/>
        <w:tblLayout w:type="fixed"/>
        <w:tblCellMar>
          <w:top w:w="0" w:type="dxa"/>
          <w:left w:w="0" w:type="dxa"/>
          <w:bottom w:w="0" w:type="dxa"/>
          <w:right w:w="0" w:type="dxa"/>
        </w:tblCellMar>
      </w:tblPr>
      <w:tblGrid>
        <w:gridCol w:w="665"/>
        <w:gridCol w:w="140"/>
        <w:gridCol w:w="140"/>
        <w:gridCol w:w="1085"/>
        <w:gridCol w:w="140"/>
        <w:gridCol w:w="140"/>
        <w:gridCol w:w="905"/>
        <w:gridCol w:w="140"/>
        <w:gridCol w:w="140"/>
        <w:gridCol w:w="1025"/>
        <w:gridCol w:w="140"/>
        <w:gridCol w:w="140"/>
        <w:gridCol w:w="1085"/>
      </w:tblGrid>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 Book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CY26 P / EPS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CY27 P / EPS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0.23x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0.60x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7.4x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0.59x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8.0x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0.84x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12.9x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16.3x</w:t>
            </w:r>
          </w:p>
        </w:tc>
      </w:tr>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LIEN: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BDCs (in alphabetical order)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BCP Investment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TCP Capital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CION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Crescent Capital BDC, Inc.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Fidus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Capital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Gladstone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Great Elm Capital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Horizon Technology Finance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Investcorp Credit Management BDC, Inc.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Nuveen Churchill Direct Lending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OFS Capital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Oxford Square Capital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Palmer Square Capital BDC Inc.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PennantPark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Rand Capital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Runway Growth Finance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Saratoga Investment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Investment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Stellus Capital Investment Corporation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SuRo Capital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TriplePoint Venture Growth BDC Corp. </w:t>
            </w:r>
          </w:p>
        </w:tc>
      </w:tr>
      <w:tr>
        <w:trPr/>
        <w:tc>
          <w:tcPr>
            <w:tcW w:w="35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WhiteHorse Finance, Inc. </w:t>
            </w:r>
          </w:p>
        </w:tc>
      </w:tr>
      <w:tr>
        <w:trPr/>
        <w:tc>
          <w:tcPr>
            <w:tcW w:w="35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7966x1_n14_115-merger_pg41"/>
        <w:bookmarkEnd w:id="124"/>
        <w:r>
          <w:rPr>
            <w:rStyle w:val="InternetLink"/>
            <w:rFonts w:ascii="Times New Roman;Times;Serif" w:hAnsi="Times New Roman;Times;Serif"/>
            <w:b/>
            <w:caps w:val="false"/>
            <w:smallCaps w:val="false"/>
            <w:color w:val="000000"/>
            <w:sz w:val="16"/>
          </w:rPr>
          <w:t>TABLE OF CONTENTS</w:t>
        </w:r>
      </w:hyperlink>
    </w:p>
    <w:tbl>
      <w:tblPr>
        <w:tblW w:w="4640" w:type="dxa"/>
        <w:jc w:val="left"/>
        <w:tblInd w:w="0" w:type="dxa"/>
        <w:tblLayout w:type="fixed"/>
        <w:tblCellMar>
          <w:top w:w="0" w:type="dxa"/>
          <w:left w:w="0" w:type="dxa"/>
          <w:bottom w:w="0" w:type="dxa"/>
          <w:right w:w="0" w:type="dxa"/>
        </w:tblCellMar>
      </w:tblPr>
      <w:tblGrid>
        <w:gridCol w:w="4640"/>
      </w:tblGrid>
      <w:tr>
        <w:trPr/>
        <w:tc>
          <w:tcPr>
            <w:tcW w:w="4640" w:type="dxa"/>
            <w:tcBorders/>
            <w:vAlign w:val="center"/>
          </w:tcPr>
          <w:p>
            <w:pPr>
              <w:pStyle w:val="TableContents"/>
              <w:bidi w:val="0"/>
              <w:spacing w:before="0" w:after="0"/>
              <w:jc w:val="left"/>
              <w:rPr/>
            </w:pPr>
            <w:r>
              <w:rPr/>
              <w:t>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Cannabis-Focused Peers (in alphabetical order)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Advanced Flower Capital Inc.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Real Estate Finance, Inc.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Innovative Industrial Properties, Inc. </w:t>
            </w:r>
          </w:p>
        </w:tc>
      </w:tr>
      <w:tr>
        <w:trPr/>
        <w:tc>
          <w:tcPr>
            <w:tcW w:w="46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NewLake Capital Partners, Inc.</w:t>
            </w:r>
          </w:p>
        </w:tc>
      </w:tr>
      <w:tr>
        <w:trPr/>
        <w:tc>
          <w:tcPr>
            <w:tcW w:w="4640" w:type="dxa"/>
            <w:tcBorders/>
            <w:vAlign w:val="center"/>
          </w:tcPr>
          <w:p>
            <w:pPr>
              <w:pStyle w:val="TableContents"/>
              <w:bidi w:val="0"/>
              <w:spacing w:before="0" w:after="0"/>
              <w:jc w:val="left"/>
              <w:rPr/>
            </w:pPr>
            <w:r>
              <w:rPr/>
              <w:t> </w:t>
            </w:r>
          </w:p>
        </w:tc>
      </w:tr>
    </w:tbl>
    <w:tbl>
      <w:tblPr>
        <w:tblW w:w="5870" w:type="dxa"/>
        <w:jc w:val="left"/>
        <w:tblInd w:w="0" w:type="dxa"/>
        <w:tblLayout w:type="fixed"/>
        <w:tblCellMar>
          <w:top w:w="0" w:type="dxa"/>
          <w:left w:w="0" w:type="dxa"/>
          <w:bottom w:w="0" w:type="dxa"/>
          <w:right w:w="0" w:type="dxa"/>
        </w:tblCellMar>
      </w:tblPr>
      <w:tblGrid>
        <w:gridCol w:w="665"/>
        <w:gridCol w:w="140"/>
        <w:gridCol w:w="140"/>
        <w:gridCol w:w="1085"/>
        <w:gridCol w:w="140"/>
        <w:gridCol w:w="140"/>
        <w:gridCol w:w="890"/>
        <w:gridCol w:w="140"/>
        <w:gridCol w:w="140"/>
        <w:gridCol w:w="1025"/>
        <w:gridCol w:w="140"/>
        <w:gridCol w:w="140"/>
        <w:gridCol w:w="1085"/>
      </w:tblGrid>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 NAV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CY26 P / EPS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CY27 P / EPS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0.33x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0.70x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7.1x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7.2x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0.70x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7.5x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32" w:right="0" w:hanging="0"/>
              <w:jc w:val="left"/>
              <w:rPr>
                <w:rFonts w:ascii="Times New Roman;Times;serif" w:hAnsi="Times New Roman;Times;serif"/>
                <w:b/>
                <w:color w:val="000000"/>
                <w:sz w:val="20"/>
              </w:rPr>
            </w:pPr>
            <w:r>
              <w:rPr>
                <w:rFonts w:ascii="Times New Roman;Times;serif" w:hAnsi="Times New Roman;Times;serif"/>
                <w:b/>
                <w:color w:val="000000"/>
                <w:sz w:val="20"/>
              </w:rPr>
              <w:t>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1.02x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4" w:right="0" w:hanging="0"/>
              <w:jc w:val="left"/>
              <w:rPr>
                <w:rFonts w:ascii="Times New Roman;Times;serif" w:hAnsi="Times New Roman;Times;serif"/>
                <w:color w:val="000000"/>
                <w:sz w:val="20"/>
              </w:rPr>
            </w:pPr>
            <w:r>
              <w:rPr>
                <w:rFonts w:ascii="Times New Roman;Times;serif" w:hAnsi="Times New Roman;Times;serif"/>
                <w:color w:val="000000"/>
                <w:sz w:val="20"/>
              </w:rPr>
              <w:t>16.9x</w:t>
            </w:r>
          </w:p>
        </w:tc>
      </w:tr>
      <w:tr>
        <w:trPr/>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REFI</w:t>
      </w:r>
      <w:r>
        <w:rPr>
          <w:rFonts w:ascii="Times New Roman;Times;serif" w:hAnsi="Times New Roman;Times;serif"/>
          <w:i w:val="false"/>
          <w:caps w:val="false"/>
          <w:smallCaps w:val="false"/>
          <w:color w:val="000000"/>
          <w:sz w:val="20"/>
        </w:rPr>
        <w:t xml:space="preserve">. Oppenheimer applied a range of price-to-book value multiples of 0.54x to 0.66x, a range of dividend yield of 11.0% to 13.4%, a range of price-to-2026 earnings-per-share (“EPS”) multiples of 7.4x to 9.0x, and a range of price-to-2027 EPS multiples of 6.7x to 8.2x.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LIEN.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Oppenheimer applied a range of price-to-NAV multiples of 0.63x to 0.77x, a range of dividend yield of 12.0% to 14.7%, a range of price-to-2026 NII multiples of 6.4x to 7.8x, and a range of price-to-2027 NII multiples of 6.5x to 7.9x.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the following implied exchange ratio reference ranges, as compared to the illustrative Exchange Ratio of 1.0851x: </w:t>
      </w:r>
    </w:p>
    <w:tbl>
      <w:tblPr>
        <w:tblW w:w="6470" w:type="dxa"/>
        <w:jc w:val="left"/>
        <w:tblInd w:w="0" w:type="dxa"/>
        <w:tblLayout w:type="fixed"/>
        <w:tblCellMar>
          <w:top w:w="0" w:type="dxa"/>
          <w:left w:w="0" w:type="dxa"/>
          <w:bottom w:w="0" w:type="dxa"/>
          <w:right w:w="0" w:type="dxa"/>
        </w:tblCellMar>
      </w:tblPr>
      <w:tblGrid>
        <w:gridCol w:w="3860"/>
        <w:gridCol w:w="140"/>
        <w:gridCol w:w="140"/>
        <w:gridCol w:w="2330"/>
      </w:tblGrid>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r>
        <w:trPr/>
        <w:tc>
          <w:tcPr>
            <w:tcW w:w="3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Valuation Methodology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Book Value (REFI) / Price / NAV (LIEN)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0.7573x – 1.1310x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1.2425x – 1.8551x </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2026 Earnings (EPS / NII)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0.9117x – 1.3621x </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2027 Earnings (EPS / NII)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0.9054x – 1.3523x</w:t>
            </w:r>
          </w:p>
        </w:tc>
      </w:tr>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as a comparison in the above comparable companies analysis is identical to REFI or LIEN. Accordingly, an analysis of these results is not purely mathematical. Rather, it involves complex considerations and judgments concerning differences in financial and operating characteristics of the companies involved.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 Precedent M&amp;A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Using publicly available information, Oppenheimer reviewed selected precedent merger and acquisition transactions that it deemed relevant. For purposes of its analysis of REFI, Oppenheimer reviewed seven selected precedent mortgage REIT transactions announced and completed since January 1, 2018 with a publicly traded buyer and target and implied equity value of less than $1 billion. For purposes of its analysis of LIEN, Oppenheimer reviewed eleven selected precedent BDC transactions announced and completed since January 1, 2018 with a publicly traded buyer and target and implied equity value of less than $1 billion.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REFI Reference Transactions </w:t>
      </w:r>
    </w:p>
    <w:tbl>
      <w:tblPr>
        <w:tblW w:w="8225" w:type="dxa"/>
        <w:jc w:val="left"/>
        <w:tblInd w:w="0" w:type="dxa"/>
        <w:tblLayout w:type="fixed"/>
        <w:tblCellMar>
          <w:top w:w="0" w:type="dxa"/>
          <w:left w:w="0" w:type="dxa"/>
          <w:bottom w:w="0" w:type="dxa"/>
          <w:right w:w="0" w:type="dxa"/>
        </w:tblCellMar>
      </w:tblPr>
      <w:tblGrid>
        <w:gridCol w:w="1505"/>
        <w:gridCol w:w="140"/>
        <w:gridCol w:w="140"/>
        <w:gridCol w:w="3020"/>
        <w:gridCol w:w="140"/>
        <w:gridCol w:w="140"/>
        <w:gridCol w:w="3140"/>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Buyer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TPG Mortgage Investment Trust,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Western Asset Mortgage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Ellington Financial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Arlington Asset Investment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Broadmark Realty Capital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RMR Mortgage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Tremont Mortgage Trust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Anworth Mortgage Asset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Owens Realty Mortgage,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Annaly Capital Management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MTGE Investment Corp.</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7966x1_n14_115-merger_pg4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LIEN Reference Transactions </w:t>
      </w:r>
    </w:p>
    <w:tbl>
      <w:tblPr>
        <w:tblW w:w="8360" w:type="dxa"/>
        <w:jc w:val="left"/>
        <w:tblInd w:w="0" w:type="dxa"/>
        <w:tblLayout w:type="fixed"/>
        <w:tblCellMar>
          <w:top w:w="0" w:type="dxa"/>
          <w:left w:w="0" w:type="dxa"/>
          <w:bottom w:w="0" w:type="dxa"/>
          <w:right w:w="0" w:type="dxa"/>
        </w:tblCellMar>
      </w:tblPr>
      <w:tblGrid>
        <w:gridCol w:w="1505"/>
        <w:gridCol w:w="140"/>
        <w:gridCol w:w="140"/>
        <w:gridCol w:w="2900"/>
        <w:gridCol w:w="140"/>
        <w:gridCol w:w="140"/>
        <w:gridCol w:w="339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Buyer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Horizon Technology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Monroe Capital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Portman Ridge Finance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Logan Ridge Finance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TCP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Capital Investment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Eagle Alternative Capital BDC,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SLR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SLR Senior Investment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BCP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Harvest Capital Credit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Specialty Lending,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Oaktree Strategic Income Corp.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Barings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MVC Capital,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BCP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Garrison Capital Inc.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Crescent Capital BDC,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Alcentra Capital Corporation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BCP Investment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OHA Investment Corporation</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REFI.</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Oppenheimer reviewed the price-to-book value multiples implied by the selected transactions. The median price-to-book value multiple of the selected mortgage REIT precedent transactions was 1.01x, and Oppenheimer applied a reference range of 0.96x to 1.06x to derive an implied value per share range of REFI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LIEN.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Oppenheimer reviewed the price-to-NAV multiples implied by the selected transactions. The median price-to-NAV multiple of the selected BDC precedent transactions was 1.00x, and Oppenheimer applied a reference range of 0.95x to 1.05x to derive an implied value per share range of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implied exchange ratio reference range of 0.9887x to 1.2078x, as compared to the illustrative Exchange Ratio of 1.0851x.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transaction used as a comparison in the above selected precedent transactions analysis is identical to the Merger. Accordingly, an analysis of these results is not purely mathematical. Rather, it involves complex considerations and judgments concerning differences in financial and operating characteristics of the companies and transactions involved.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Discount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performed a dividend discount analysis of each of REFI and LIEN on a standalone basis to estimate ranges for the implied equity value per share of each company. In these analyses, Oppenheimer used financial and operating forecasts and projections relating to dividends and NAVs prepared by management of REFI and LIEN and approved for Oppenheimer’s use by the REFI Special Committee.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REFI</w:t>
      </w:r>
      <w:r>
        <w:rPr>
          <w:rFonts w:ascii="Times New Roman;Times;serif" w:hAnsi="Times New Roman;Times;serif"/>
          <w:i w:val="false"/>
          <w:caps w:val="false"/>
          <w:smallCaps w:val="false"/>
          <w:color w:val="000000"/>
          <w:sz w:val="20"/>
        </w:rPr>
        <w:t xml:space="preserve">. Oppenheimer discounted projected dividends per share for the period from closing (assumed December 31, 2026) through December 31, 2030 at an equity cost of capital derived from Oppenheimer’s analysis of the cost of equity for certain publicly traded commercial mortgage REITs that Oppenheimer deemed relevant, and assumed terminal values based on a price-to-NAV terminal multiple of 1.00x applied to REFI’s projected NAV per share as of December 31, 2030. This analysis resulted in an implied value per share range for REFI Common Stock of $14.48 to $16.28 (derived from a range of equity cost of capital of 10.5% to 12.5% and price-to-NAV terminal multiples of 0.95x to 1.05x).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LIEN</w:t>
      </w:r>
      <w:r>
        <w:rPr>
          <w:rFonts w:ascii="Times New Roman;Times;serif" w:hAnsi="Times New Roman;Times;serif"/>
          <w:i w:val="false"/>
          <w:caps w:val="false"/>
          <w:smallCaps w:val="false"/>
          <w:color w:val="000000"/>
          <w:sz w:val="20"/>
        </w:rPr>
        <w:t xml:space="preserve">. Oppenheimer discounted projected dividends per share for the same period at an equity cost of capital derived from Oppenheimer’s analysis of the cost of equity for certain publicly traded BDCs that Oppenheimer deemed relevant, and assumed terminal values based on a price-to-NAV terminal multiple of 1.00x applied to LIEN’s projected NAV per share as of December 31, 2030. This analysis resulted in an implied value per share range for LIEN Common Stock of $13.33 to $14.99 (derived from a range of equity cost of capital of 10.9% to 12.9% and price-to-NAV terminal multiples of 0.95x to 1.05x).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derive the implied exchange ratio range from the dividend discount analysis, Oppenheimer divided the low end of the REFI implied value per share range by the high end of the LIEN implied value per share range and divided the high end of the REFI implied value per share range by the low end of the LIEN implied value per share range. This analysis resulted in an implied exchange ratio reference range of 0.9665x to 1.2216x, as compared to the illustrative Exchange Ratio of 1.0851x.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7966x1_n14_115-merger_pg43"/>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REFI or LIEN.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Contribution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analyzed the relative standalone contributions of REFI and LIEN to various pro forma balance sheet and income statement items of the combined company, based on financial forecasts and projections prepared by management of REFI and LIEN and approved for Oppenheimer’s use by the REFI Special Committee. This analysis did not include transaction expenses, adjustments or economic impacts of the contemplated Merger. The results of Oppenheimer’s contribution analysis are set forth below, which also compares the results with the implied pro forma ownership percentages of REFI Shareholders and LIEN Shareholders in the combined company based on the illustrative Exchange Ratio of 1.0851x: </w:t>
      </w:r>
    </w:p>
    <w:tbl>
      <w:tblPr>
        <w:tblW w:w="9260" w:type="dxa"/>
        <w:jc w:val="left"/>
        <w:tblInd w:w="0" w:type="dxa"/>
        <w:tblLayout w:type="fixed"/>
        <w:tblCellMar>
          <w:top w:w="0" w:type="dxa"/>
          <w:left w:w="0" w:type="dxa"/>
          <w:bottom w:w="0" w:type="dxa"/>
          <w:right w:w="0" w:type="dxa"/>
        </w:tblCellMar>
      </w:tblPr>
      <w:tblGrid>
        <w:gridCol w:w="5750"/>
        <w:gridCol w:w="140"/>
        <w:gridCol w:w="140"/>
        <w:gridCol w:w="1445"/>
        <w:gridCol w:w="140"/>
        <w:gridCol w:w="140"/>
        <w:gridCol w:w="1505"/>
      </w:tblGrid>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r>
        <w:trPr/>
        <w:tc>
          <w:tcPr>
            <w:tcW w:w="57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Metric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 as %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 as % of Total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Ownership (Based on Assumed Exchange Ratio of 1.0851x)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(est. as of 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Portfolio (est. as of 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Debt (est. as of 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Asset Value (est. as of 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 Net Investment Income (12 months ending 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 CY2027 Net Investment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487" w:right="0" w:hanging="0"/>
              <w:jc w:val="left"/>
              <w:rPr>
                <w:rFonts w:ascii="Times New Roman;Times;serif" w:hAnsi="Times New Roman;Times;serif"/>
                <w:color w:val="000000"/>
                <w:sz w:val="20"/>
              </w:rPr>
            </w:pPr>
            <w:r>
              <w:rPr>
                <w:rFonts w:ascii="Times New Roman;Times;serif" w:hAnsi="Times New Roman;Times;serif"/>
                <w:color w:val="000000"/>
                <w:sz w:val="20"/>
              </w:rPr>
              <w:t>52.2%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47.8%</w:t>
            </w:r>
          </w:p>
        </w:tc>
      </w:tr>
      <w:tr>
        <w:trPr/>
        <w:tc>
          <w:tcPr>
            <w:tcW w:w="5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financial analyses described above, Oppenheimer reviewed other supplemental analyses with the REFI Special Committee and the REFI Board for information purposes upon request and as Oppenheimer deemed appropriate, as described in the fairness materials Oppenheimer presented to the REFI Special Committee.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acted as financial advisor to the REFI Special Committee in connection with the Merger and did not act as an advisor to or agent of any other person in connection with the Merger. As part of its investment banking business, Oppenheimer is regularly engaged in the valuation of businesses and securities in connection with acquisitions, negotiated underwritings, secondary distributions of listed and unlisted securities, private placements and valuations for various other purposes. In the ordinary course of Oppenheimer’s and its affiliates’ businesses, Oppenheimer and its affiliates may from time to time purchase securities from, and sell securities to, REFI and LIEN. In addition, as market makers in securities, Oppenheimer and its affiliates may from time to time have a long or short position in, and buy or sell, debt or equity securities of REFI or LIEN for their own respective accounts and for the accounts of their respective customers and clients.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Oppenheimer’s engagement agreement with REFI, REFI agreed to pay Oppenheimer: (i) two engagement fees of $50,000 each (the first payable upon execution of the engagement agreement and the second payable on the one-month anniversary thereof), each of which is creditable against the transaction fee; (ii) an opinion fee of $500,000, payable upon delivery of Oppenheimer’s opinion, which is also creditable against the transaction fee; and (iii) a transaction fee of $1,750,000, payable upon the consummation of the Merger. In the event the Merger is not consummated but REFI receives a break-up fee or any other termination payment, REFI has agreed to pay Oppenheimer a fee equal to 15% of any such payment. REFI has also agreed to reimburse certain of Oppenheimer’s expenses and to indemnify Oppenheimer and certain related parties for certain potential liabilities arising out of Oppenheimer’s engagement.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Oppenheimer and/or certain of its affiliates may have in the past provided, and may currently be providing, investment banking, financial advisory and/or other financial or consulting services to REFI, LIEN, REFI Manager, LIEN Adviser or any of their respective affiliates, or one or more security holders or affiliates of, and/or portfolio companies of investment funds affiliated or associated with, REFI or LIEN, for which Oppenheimer and its affiliates may have received compensation. In the past two years, Oppenheimer has not provided investment banking, financial advisory or other financial services to REFI, LIEN, REFI Manager, LIEN Adviser or any of their respective affiliates for which Oppenheimer received compensation. Oppenheimer and certain of its affiliates may provide investment banking, financial advisory and/or other financial or consulting services to REFI, LIEN, REFI Manager, LIEN Adviser,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7966x1_n14_115-merger_pg44"/>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their respective affiliates, other participants in the Merger or certain of their respective affiliates or security holders in the future, for which Oppenheimer and its affiliates may receive compensation. In addition, Oppenheimer and certain of its affiliates and certain of Oppenheimer’s and their respective employees may have committed to invest in private equity or other investment funds managed or advised by affiliates of REFI or LIEN or other participants in the Merger or certain of their respective affiliates or security holders, and in portfolio companies of such funds, and may have co-invested with affiliates of REFI or LIEN or other participants in the Merger or certain of their respective affiliates or security holders, and may do so in the future. Furthermore, in connection with bankruptcies, restructurings, distressed situations and similar matters, Oppenheimer and certain of its affiliates may have in the past acted,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REFI, LIEN, REFI Manager, LIEN Adviser, their respective affiliates, other participants in the Merger or certain of their respective affiliates or security holders, for which advice and services Oppenheimer and its affiliates may receive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Oppenheimer made numerous assumptions with respect to industry performance, general business, economic, market and financial conditions and other matters, which are beyond the control of Oppenheimer, REFI and LIEN. Any estimates contained in the analyses performed by Oppenheimer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Oppenheimer’s opinion was one of several factors taken into consideration by the REFI Special Committee in making its determination to recommend the Merger to the REFI Board and by the REFI Board in making its determination to approve the Merger Agreement and the Merger. Consequently, the analyses described above should not be viewed as determinative of the decision of the REFI Special Committee or the REFI Board with respect to the fairness of the Exchange Ratio. The type and amount of consideration payable in the Merger were determined through negotiation between REFI and LIEN, and the decision of REFI to enter into the Merger Agreement was solely that of the REFI Special Committee and the REFI Board.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after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will continue to serve as investment adviser of the combined company following completion of the Merger pursuant to the terms of the LIEN Investment Advisory Agreement. Pursuant to the Merger Agreement, upon completion of the Merger, the LIEN Board will consist of three REFI Independent Directors (Elizabeth Stavola, Brandon Konigsberg and Jason Papastavrou), two LIEN Independent Directors ([ ] and [ ]) and two directors affiliated with LIEN Adviser or its Affiliates ([ ] and [ ]). Following completion of the Merger, Scott Gordon, who currently serves as Executive Chairman and Co-Chief Investment Officer of LIEN, is expected to serve as Executive Chairman and Co-Chief Investment Officer of the surviving company; Umesh Mahajan, who currently serves as Co-Chief Investment Officer of LIEN, is expected to serve as Co-Chief Investment Officer of the surviving company; Gianni Fazio, who currently serves as Chief Accounting Officer of LIEN, is expected to serve as Chief Accounting Officer of the surviving company; Dino Colonna, who currently serves as President of LIEN, is expected to serve as Co-President of the surviving company; David Kite, who currently serves as President of REFI, is expected to serve as Co-President of the surviving company; Andrew Lovitt, who currently serves as Chief Compliance Officer of LIEN, is expected to serve as Chief Compliance Officer of the surviving company; Peter Sack, who currently serves as Chief Executive Officer of LIEN, is expected to serve as Chief Executive Officer of the surviving company; and Phillip Silverman, who currently serves as Chief Financial Officer of REFI, is expected to serve as Chief Financial Officer of the surviving company.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Certain Persons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has indirect financial interests in the transactions contemplated by the Merger Agreement, including the Merger, that are different from, and/or in addition to, the interests of LIEN Shareholders. For example, the base management fee LIEN Adviser currently receives under the LIEN Investment Advisory Agreement is based on the average value of LIEN’s gross assets (excluding cash and cash equivalents). Because total assets under management will increase as a result of the Merger, the dollar amount of LIEN Adviser’s base management fee will likely increase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members of the LIEN Board and LIEN’s senior management may have indirect financial and other interests in LIEN Adviser. As a result of their roles with LIEN Adviser, such persons may have indirect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7966x1_n14_115-merger_pg45"/>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interests in the transactions contemplated by the Merger Agreement, including the Merger, that are different from, and/or in addition to, the interests of LIEN Shareholders due to LIEN Adviser’s interests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parties’ entry into the Merger Agreement, REFI also entered into a Support Agreement with LIEN Adviser. Pursuant to the Support Agreement, LIEN Adviser has agreed to vote its covered shares of REFI Common Stock in favor of the REFI Proposals.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LIEN and REFI to complete the Merger are subject to the satisfaction or, where permissible, waiver of certain conditions, including the condition that all regulatory approvals required by law to consummate the transactions contemplated by the Merger Agreement, including the Merger, have been obtained and remain in full force and effect, and all statutory waiting periods required by applicable law in respect thereof have expired. LIEN and REFI have agreed to cooperate with each other and use their reasonable best efforts to obtain all consents, authorizations, approvals, exemptions or nonobjections from any governmental or regulatory authority necessary to consummate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such regulatory approvals will be obtained, that such approvals will be received on a timely basis or that such approvals will not impose conditions or requirements that, individually or in the aggregate, would or could reasonably be expected to have a material adverse effect on the financial condition, results of operations, assets or business of the combined company following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Third-Party Consents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each of LIEN’s and REFI’s obligation to complete the Merger is subject to the prior receipt of certain approvals, confirmations and consents required to be obtained from certain agents, lenders, derivative counterparties, noteholders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have agreed to cooperate with each other and use their reasonable best efforts to take, or cause to be taken, in good faith, all actions, and to do, or cause to be done, all things necessary, including to obtain as promptly as practicable all permits, consents, approvals, confirmations and authorizations of all third parties, in each case, that are necessary or advisable, to consummate the transactions contemplated by the Merger Agreement, including the Merger, in the most expeditious manner practicable. There can be no assurance that any permits, consents, approvals, confirmations or 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7966x1_n14_116-agreement_pg1"/>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0" w:name="tDES"/>
      <w:bookmarkEnd w:id="130"/>
      <w:r>
        <w:rPr>
          <w:rFonts w:ascii="Times New Roman;Times;serif" w:hAnsi="Times New Roman;Times;serif"/>
          <w:b/>
          <w:color w:val="000000"/>
          <w:sz w:val="20"/>
        </w:rPr>
        <w:t xml:space="preserve">DESCRIPTION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which includes the material terms of the Merger Agreement, is qualified by reference to the complete text of the Merger Agreement, which is attached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joint proxy statement/prospectus and is incorporated by reference in this joint proxy statement/prospectus. This summary does not purport to be complete and may not contain all of the information about the Merger Agreement that is important to you. LIEN and REFI encourage you to read the Merger Agreement carefully and in its entirety.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Structure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and subject to the conditions set forth in, the Merger Agreement, at the Merger Effective Time, REFI will merge with and into LIEN in accordance with the MGCL, with LIEN as the surviving entity in the Merger. As of the Merger Effective Time, the separate corporate existence of REFI will cease and LIEN will continue its existence as a corporation under the laws of the State of Maryland.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Completion of the Proposed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Merger will occur no later than five (5) Business Days after the satisfaction or waiver of the latest to occur of the conditions to closing set forth in the Merger Agreement unless otherwise agreed to in writing by LIEN and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adoption of the Merger Proposal and BDC Election Matters are approved at the REFI Special Meeting and the Merger Agreement and Merger Stock Issuance Proposal are approved at the LIEN Special Meeting, and if the other conditions to closing the Merger are satisfied or appropriately waived, LIEN and REFI expect that the Merger will be completed in the fourth quarter of 2026 promptly following receipt of such approvals and satisfaction of such other closing conditions.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each share of REFI Common Stock (other than Cancelled Shares) will be converted into the right to receive a number of shares of LIEN Common Stock equal to the Exchange Ratio. The Exchange Ratio is equal to the Closing REFI NAV divided by the Closing LIEN NAV (each of which is determined on a per-share basis), rounded to the nearest four decimal places.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will be appropriately adjusted if between the Determination Date and the Merger Effective Time, the respective outstanding shares of LIEN Common Stock or REFI Common Stock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shall be authorized and declared with a record date within such period, in each case, to provide the shareholders of REFI and LIEN the same economic effect as contemplated by the Merger Agreement prior to such event. No fractional shares of LIEN Common Stock will be issued, and holders of REFI Common Stock will receive cash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Determination Date, LIEN will deliver to REFI the Closing LIEN NAV and REFI will deliver to LIEN the Closing REFI NAV, in each case based on the valuation principles, assumptions and methodologies, and applying the categories of adjustments to NAV, as set forth in Exhibit A of the Merger Agreement. The Closing LIEN NAV and Closing REFI NAV, as applicable, will be updated under the circumstances set forth in 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Effective Time, the record holders of shares of REFI Common Stock shall be entitled to receive, without interest, (i) the amount of dividends or other distributions with a record date after the Merger Effective Time theretofore payable with respect to the whole shares of LIEN Common Stock represented by such shares of REFI Common Stock and not paid and/or (ii) at the appropriate payment date, the amount of dividends or other distributions payable with respect to the whole shares of LIEN Common Stock represented by such shares of REFI Common Stock with a record date after the Merger Effective Time (but before the issuance of LIEN Common Stock issuable with respect to such shares of REFI Common Stock) and with a payment date subsequent to the issuance of the LIEN Common Stock issuable with respect to such shares of REFI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Conversion of Shares; Exchange of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REFI Common Stock issued and outstanding immediately prior to the Merger Effective Time, except for the Cancelled Shares, but including the REFI Restricted Stock (the restrictions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77966x1_n14_116-agreement_pg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which will vest immediately prior to Merger Effective Time), will be converted into the right to receive the Merger Consideration. Each such share of REFI Common Stock will no longer be outstanding and will be automatically canceled and cease to exist, with the holders of such shares ceasing to have any rights with respect to any REFI Common Stock other than the right to the Merger Consideration, cash in lieu of fractional shares upon the surrender of such shares of REFI Common Stock in accordance with the terms of the Merger Agreement and certain dividends or other distributions (as described above and as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Merger Effective Time, the stock transfer books of REFI shall be closed, and there shall be no further transfers on the stock transfer books of REFI of the shares of REFI Common Stock that were issued and outstanding immediately prior to the Merger Effective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or the paying and exchange agent, as applicable, will be entitled to deduct and withhold from amounts payable pursuant to the Merger Agreement to any holder of REFI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If any amounts are withheld and paid over to the appropriate governmental entity, such withheld amounts will be treated as having been paid to the relevant person of which such deduction and withholding was made.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of LIEN, REFI, LIEN Adviser and REFI Manager relating to their respective organizations, businesses and authority to enter into the transactions. The representations and warranties in the Merger Agreement will not survive after the Merger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by each of LIEN and REFI, subject to specified exceptions and qualifications, relating to, among other things: </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organization, including incorporation, qualification and subsidiaries;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power and authority to execute, deliver and perform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of (1) organizational documents, (2) laws or orders or (3) permits, material contracts or other obligations; </w:t>
            </w:r>
          </w:p>
        </w:tc>
      </w:tr>
    </w:tbl>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government filings and consents;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 reports and financial statements;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internal controls and disclosure controls and procedures; </w:t>
            </w:r>
          </w:p>
        </w:tc>
      </w:tr>
    </w:tbl>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000000"/>
              </w:rPr>
            </w:pPr>
            <w:r>
              <w:rPr>
                <w:color w:val="000000"/>
              </w:rPr>
              <w:t>•</w:t>
            </w:r>
          </w:p>
        </w:tc>
        <w:tc>
          <w:tcPr>
            <w:tcW w:w="1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fees;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changes and actions since December 31, 2025;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and completeness of information supplied for inclusion in this joint proxy statement/prospectus and other governmental filings in connection with the Merger;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litigation, orders or investigations;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employment and labor matters, including with respect to any employee benefit plans;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and certain other types of contracts; </w:t>
            </w:r>
          </w:p>
        </w:tc>
      </w:tr>
    </w:tbl>
    <w:tbl>
      <w:tblPr>
        <w:tblW w:w="1795" w:type="dxa"/>
        <w:jc w:val="left"/>
        <w:tblInd w:w="0" w:type="dxa"/>
        <w:tblLayout w:type="fixed"/>
        <w:tblCellMar>
          <w:top w:w="0" w:type="dxa"/>
          <w:left w:w="0" w:type="dxa"/>
          <w:bottom w:w="0" w:type="dxa"/>
          <w:right w:w="0" w:type="dxa"/>
        </w:tblCellMar>
      </w:tblPr>
      <w:tblGrid>
        <w:gridCol w:w="110"/>
        <w:gridCol w:w="1685"/>
      </w:tblGrid>
      <w:tr>
        <w:trPr/>
        <w:tc>
          <w:tcPr>
            <w:tcW w:w="110" w:type="dxa"/>
            <w:tcBorders/>
            <w:vAlign w:val="center"/>
          </w:tcPr>
          <w:p>
            <w:pPr>
              <w:pStyle w:val="TableContents"/>
              <w:bidi w:val="0"/>
              <w:spacing w:before="0" w:after="0"/>
              <w:jc w:val="left"/>
              <w:rPr>
                <w:color w:val="000000"/>
              </w:rPr>
            </w:pPr>
            <w:r>
              <w:rPr>
                <w:color w:val="000000"/>
              </w:rPr>
              <w:t>•</w:t>
            </w:r>
          </w:p>
        </w:tc>
        <w:tc>
          <w:tcPr>
            <w:tcW w:w="1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coverage; </w:t>
            </w:r>
          </w:p>
        </w:tc>
      </w:tr>
    </w:tbl>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7966x1_n14_116-agreement_pg3"/>
        <w:bookmarkEnd w:id="132"/>
        <w:r>
          <w:rPr>
            <w:rStyle w:val="InternetLink"/>
            <w:rFonts w:ascii="Times New Roman;Times;Serif" w:hAnsi="Times New Roman;Times;Serif"/>
            <w:b/>
            <w:caps w:val="false"/>
            <w:smallCaps w:val="false"/>
            <w:color w:val="000000"/>
            <w:sz w:val="16"/>
          </w:rPr>
          <w:t>TABLE OF CONTENTS</w:t>
        </w:r>
      </w:hyperlink>
    </w:p>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real property ownership or leases;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investment assets; </w:t>
            </w:r>
          </w:p>
        </w:tc>
      </w:tr>
    </w:tbl>
    <w:tbl>
      <w:tblPr>
        <w:tblW w:w="1765" w:type="dxa"/>
        <w:jc w:val="left"/>
        <w:tblInd w:w="0" w:type="dxa"/>
        <w:tblLayout w:type="fixed"/>
        <w:tblCellMar>
          <w:top w:w="0" w:type="dxa"/>
          <w:left w:w="0" w:type="dxa"/>
          <w:bottom w:w="0" w:type="dxa"/>
          <w:right w:w="0" w:type="dxa"/>
        </w:tblCellMar>
      </w:tblPr>
      <w:tblGrid>
        <w:gridCol w:w="110"/>
        <w:gridCol w:w="1655"/>
      </w:tblGrid>
      <w:tr>
        <w:trPr/>
        <w:tc>
          <w:tcPr>
            <w:tcW w:w="11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takeover laws;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appraisal rights; </w:t>
            </w:r>
          </w:p>
        </w:tc>
      </w:tr>
    </w:tbl>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value of certain investment assets;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opinion of the financial advisor to the LIEN Special Committee (in the case of LIEN) and receipt of the opinion of the financial advisor to the REFI Special Committee (in the case of REFI).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by each of LIEN Adviser and REFI Manager, subject to specified exceptions and qualifications, relating to: </w:t>
      </w:r>
    </w:p>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formation and qualification;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power and authority to execute, deliver and perform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of (1) organizational documents, (2) laws or orders or (3) permits, material contracts or other obligations;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permits; </w:t>
            </w:r>
          </w:p>
        </w:tc>
      </w:tr>
    </w:tbl>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litigation, orders or investigations;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value of investment assets owned by REFI and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or to be supplied by each of the LIEN Adviser and REFI Manager for inclusion in this joint proxy statement/prospectus;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resources of each of the LIEN Adviser and REFI Manager; and </w:t>
            </w:r>
          </w:p>
        </w:tc>
      </w:tr>
    </w:tbl>
    <w:tbl>
      <w:tblPr>
        <w:tblW w:w="7060" w:type="dxa"/>
        <w:jc w:val="left"/>
        <w:tblInd w:w="0" w:type="dxa"/>
        <w:tblLayout w:type="fixed"/>
        <w:tblCellMar>
          <w:top w:w="0" w:type="dxa"/>
          <w:left w:w="0" w:type="dxa"/>
          <w:bottom w:w="0" w:type="dxa"/>
          <w:right w:w="0" w:type="dxa"/>
        </w:tblCellMar>
      </w:tblPr>
      <w:tblGrid>
        <w:gridCol w:w="110"/>
        <w:gridCol w:w="6950"/>
      </w:tblGrid>
      <w:tr>
        <w:trPr/>
        <w:tc>
          <w:tcPr>
            <w:tcW w:w="11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REFI and LIEN in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representations and warranties were made as of specific dates, may be subject to important qualifications and limitations agreed to by the parties in connection with negotiating the terms of the Merger Agreement and may have been included in the Merger Agreement for the purpose of allocating risk between the parties rather than to establish matters as facts. The Merger Agreement is described in, and included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joint proxy statement/prospectus only to provide you with information regarding its terms and conditions and not to provide any other factual information regarding the parties or their respective businesses. Accordingly, the representations and warranties and other provisions of the Merger Agreement should not be read alone, but instead should be read only in conjunction with the information provided elsewhere in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various parties’ representations and warranties are conditions to Closing of the Merger. However, with the exception of certain representations that must be true and correct in all or virtually all respects, or in all material respects, no representation or warranty will be deemed untrue, and neither party will be deemed to have breached a representation or warranty as a consequence of the existence of any fact, circumstance or event unless such fact, circumstance or event, individually or when taken together with all other facts, circumstances and events inconsistent with any representation made by such party (without considering “materiality” or “material adverse effect” qualifications), has had or is reasonably expected to have a Material Adverse Effect, which is defined with respect to LIEN or REFI, as the case may be, as any event, development, change, effect or occurrence that is, or would reasonably be expected to be, individually or in the aggregate, materially adverse to (1) the business, operations, condition (financial or otherwise) or results of operations of such party and its subsidiaries, taken as a whole or (2) the ability of such party to timely perform its material obligations under the Merger Agreement or consummate the Merger and the transactions contemplated thereby;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none of the following events, developments, changes, effects or occurrences will constitute or be taken into account in determining whether a Material Adverse Effect has occurred or is reasonably expected to occur with respect to clause (1): </w:t>
      </w:r>
    </w:p>
    <w:tbl>
      <w:tblPr>
        <w:tblW w:w="7615" w:type="dxa"/>
        <w:jc w:val="left"/>
        <w:tblInd w:w="0" w:type="dxa"/>
        <w:tblLayout w:type="fixed"/>
        <w:tblCellMar>
          <w:top w:w="0" w:type="dxa"/>
          <w:left w:w="0" w:type="dxa"/>
          <w:bottom w:w="0" w:type="dxa"/>
          <w:right w:w="0" w:type="dxa"/>
        </w:tblCellMar>
      </w:tblPr>
      <w:tblGrid>
        <w:gridCol w:w="200"/>
        <w:gridCol w:w="74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economic, social or political conditions or financial markets in general;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changes or developments in the industries in which such party and its subsidiaries operate, including general changes in law across such industries;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7966x1_n14_116-agreement_pg4"/>
        <w:bookmarkEnd w:id="1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general regulatory, legislative or political conditions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earthquakes, hurricanes, tsunamis, tornadoes, floods, mudslides, wild fires or other natural disasters, weather conditions, epidemics, pandemics or disease outbreaks and other force majeure events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after the date of the Merger Agreement in GAAP or other applicable accounting standards or in any applicable laws or regulations (or the binding interpretation of any of the foregoing); </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REFI Common Stock or LIEN Common Stock on the NASDAQ (it being understood that any cause of any such failure may be deemed to constitute, in and of itself, a Material Adverse Effect and may be taken into consideration when determining whether a Material Adverse Effect has occurred);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or claim made or brought by any actual or purported current or former shareholder of REFI (or on their behalf or on behalf of REFI) or LIEN (or on their behalf or on behalf of LIEN) arising out of or relating to the Merger Agreement or the Merger or any other transactions;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effect resulting from the announcement of the Merger Agreement or the transactions or the identities of the parties to the Merger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in the case of the foregoing clauses (i) thru (vi), to the extent such changes or developments referred to therein have a materially disproportionate adverse impact on such party and its subsidiaries, taken as a whole, relative to other participants of similar sizes engaged in the industries in which such party conducts its businesses.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 Pending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LIEN and REFI has undertaken covenants that place restrictions on it and certain of its subsidiaries until the completion of the Merger. In general, each of LIEN and REFI has agreed that before the completion of the Merger, except as may be required by law, as expressly contemplated by the Merger Agreement, or with the prior written consent of the other parties to the Merger Agreement, which prior written consent shall not be unreasonably delayed, conditioned or withheld, each of LIEN and REFI will and will cause each of its subsidiaries, if any, to, conduct its business in the ordinary course of business, consistent with past practice and consistent with each of LIEN’s and REFI’s investment objectives and policies as publicly disclosed, respectively, and use reasonable best efforts to maintain and preserve intact its business organization and existing business relationships.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before the completion of the Merger, each of LIEN and REFI has agreed that, except as may be required by law or as expressly contemplated by the Merger Agreement or as set forth in its disclosure schedules it will not, and will not permit any of its subsidiaries to, directly or indirectly, without the prior written consent of LIEN or REFI, as applicable (which prior written consent shall not be unreasonably delayed, conditioned or withheld):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pursuant to its dividend reinvestment plan, as of the date of the Merger Agreement, or pursuant to capital calls with respect to any REFI subscription agreements, issue, deliver, sell or grant, or encumber or pledge, or authorize the creation of (i) any shares of its capital stock, (ii) any voting debt or other voting securities or (iii) any securities convertible into or exercisable or exchangeable for, or any other rights to acquire, any such shares or other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its investment objectives and policies as publicly disclosed, (B) the authorization and payment of any dividend or distribution necessary for it to maintain its qualification as a RIC or a REIT or to avoid the imposition of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77966x1_n14_116-agreement_pg5"/>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income or excise tax, as reasonably determined by such party, (C) dividends payable by any direct or indirect wholly owned subsidiary of such party to such party or another direct or indirect wholly owned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the REFI Charter, REFI Bylaws, the LIEN Charter, the LIEN Bylaws or other governing documents or similar governing documents of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adopt any material change in its tax or financial accounting principles, practices or methods, other than as required by applicable law, GAAP, the SEC or applicable regulatory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hire any employees; establish, become a party to or commit to adopt any employee benefit plan other than the REFI Incentive Plan; or amend, modify or waive any provision of the REFI Incentive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provided, however, that the foregoing shall not preclude REFI from declaring or paying any Tax Dividend on or before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any indebtedness for borrowed money or guarantee any indebtedness of another Person, except for (i) draw-downs with respect to any previously disclosed financing arrangements existing as of the date of the Merger Agreement and obligations to fund commitments to portfolio companies entered into in the ordinary course of business; (ii) permitted indebtedness or (iii) in an aggregate amount not in excess of $250,000;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agree to make any new capital expenditure other than obligations to fund commitments to portfolio companies entered into in the ordinary course of business or in an aggregate amount not in excess of $500,000;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to act is reasonably likely to cause such party to fail to qualify as a RIC or a REIT, as applicable;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subsidiaries has made a debt or equity investment that is, would or should be reflected in such party’s schedule of investments included in its quarterly or annual periodic reports that are filed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consistent with past practice and such party’s investment objectives, enter into any material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consistent with past practice and such party’s investment objectives, terminate, cancel, renew or agree to any material amendment of, change in or waiver under any material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any proceeding against it, except for proceedings that (i) are settled in the ordinary course of business consistent with past practice and such party’s investment objectives, in an amount not in excess of $250,000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7966x1_n14_116-agreement_pg6"/>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aggregate (after reduction by any insurance proceeds actually received); (ii) would not impose any material restriction on the conduct of business of it or any of its subsidiaries or, after the Merger Effective Time, LIEN, REFI, the surviving company or any of their subsidiaries and (iii) would not admit liability, guilt or fault;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and consistent with such party’s investment objectives, (i) pay, discharge or satisfy any indebtedness for borrowed money, other than the payment, discharge or satisfaction required pursuant to the terms of outstanding debt of LIEN or REFI or their respective subsidiaries as in effect as of the date of the Merger Agreement or other permitted indebtedness or (ii) cancel any material indebtedness;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expressly contemplated by the Merger Agreement, merge or consolidate LIEN or REFI, as applicable, or any of its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subsidiaries; or </w:t>
            </w:r>
          </w:p>
        </w:tc>
      </w:tr>
    </w:tbl>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agree to take, make any commitment to take, or adopt any resolutions authorizing, any of the foregoing actions.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Further Assurances; Regulatory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covenants relating to the preparation of this joint proxy statement/prospectus, the holding of the LIEN Special Meeting and the REFI Special Meeting, access to information of the other party, obtaining certain regulatory and third-party consents, public announcements, tax matters and takeover statutes and provisions. The Merger Agreement obligates the parties to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such filings, the parties are required to cooperate with one another, to keep the other party informed of any communications received by such party from, or given by such party to, any governmental entities and permit the other party to review such communications. The parties must consult with each other with respect to the obtaining of all permits, consents, approvals and authorizations of all third parties and permits of all governmental entities necessary or advisable to consummate the transactions contemplated by the Merger Agreement (including the Merger), and each party must keep the other reasonably apprised of the status of matters relating to completion of the Merger. The parties shall cooperate with each other and use reasonable best efforts to take, or cause to be taken, in good faith, all actions, and to do, or cause to be done, all things necessary for LIEN to assume and/or repay, as applicable, REFI’s indebtedness and each of REFI and LIEN shall execute such documentation, and shall cooperate and take such other actions as may be reasonably necessary to accomplish the foregoing.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has agreed to hold the REFI Special Meeting as promptly as practicable following the effectiveness of this joint proxy statement/prospectus for the purpose of obtaining the approval of REFI Shareholders of the REFI Proposals. REFI will be required to use its reasonable best efforts to obtain from REFI Shareholders the vote required to approve the REFI Proposals, and such obligations will not be affected by the existence of any takeover proposals, unless an adverse recommendation change is made by REFI or if, following the BDC Election Time, the Post-BDC Election Approvals have not been obtained.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LIEN has agreed to hold the LIEN Special Meeting as promptly as practicable following the effectiveness of this joint proxy statement/prospectus for the purpose of obtaining the approval of LIEN Shareholders of the LIEN Proposals. LIEN will be required to use its reasonable best efforts to obtain from LIEN Shareholders the vote required to approve the LIEN Proposals, and such obligations will not be affected by the existence of any takeover proposals, unless an adverse recommendation change is made by LIEN.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7966x1_n14_116-agreement_pg7"/>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required to use reasonable best efforts to cause the shares of LIEN Common Stock to be issued as Merger Consideration to be approved for listing on the NASDAQ, subject to official notice of issuance, at or prior to the Merger Effective Time.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Directors’ and Officers’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Effective Time, LIEN shall, to the fullest extent permitted under applicable law, defend and hold harmless, and advance expenses, to the present and former directors and officers of REFI or any of its subsidiaries (each, a “D&amp;O Indemnified Party” and collectively, the “D&amp;O Indemnified Parties”)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incurred in connection with any proceeding arising out of actions or omissions occurring at or prior to the Merger Effective Time (including any matters arising in connection with the Merger Agreement or the transactions contemplated thereby). If an indemnified liability arises, (i) LIEN has agreed to advance the applicable D&amp;O Indemnified Party, upon request, reimbursement of documented expenses reasonably and actually incurred so long as such D&amp;O Indemnified Party, or someone on his or her behalf, undertakes to repay such advanced expenses if he or she is ultimately determined to be not entitled to indemnification and (ii) LIEN and the applicable D&amp;O Indemnified Party will cooperate in the defense of such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REFI and LIEN shall otherwise agree, prior to the Merger Effective Time, REFI shall, and, if REFI is unable to, LIEN shall, cause the surviving company or its successor, effective as of the Merger Effective Time, to obtain and fully pay the premium for a “tail” insurance policy for the extension of the directors’ and officers’ liability coverage of REFI’s existing directors’ and officers’ insurance policies for a claims reporting or discovery period of seven years from and after the Merger Effective Time (the “Tail Period”) with coverage and amounts not less than, and terms and conditions that are not materially less advantageous to the insureds as, REFI’s existing policies with respect to matters existing or occurring at or prior to the Merger Effective Time (the “Current D&amp;O Insurance”). If REFI and the surviving company or its successor for any reason fail to obtain such “tail” insurance policy as of the Merger Effective Time, the surviving company or its successor shall, and LIEN shall cause the surviving company or its successor to, continue to maintain in effect for the Tail Period the Current D&amp;O Insurance in place as of the date of the Merger Agreement with coverage and amounts not less than, and terms and conditions that are not materially less advantageous to the insureds as, provided in the Current D&amp;O Insurance, or the surviving company or its successor shall, and LIEN shall cause the surviving company or its successor to, purchase comparable insurance for the Tail Period; provided, that in no event shall the annual cost of such insurance exceed during the Tail Period 300% of the current aggregate annual premium paid by REFI for such purpose; provided, further, that if the cost of such insurance coverage exceeds such amount, the surviving company or its successor shall obtain a policy with the greatest coverage available for a cost not exceeding such amount.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Solicitation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REFI and LIEN has agreed to, and to cause its Affiliates, subsidiaries, and its and each of their respective officers, directors, trustees, managers, employees, consultants, financial advisors, attorneys, accountants and other advisors, representatives and agents to, (a) immediately cease and cause to be terminated all discussions or negotiations with respect to, or that are intended to or could reasonably be expected to lead to, a “Takeover Proposal” (as described below) from a third party, (b) demand the immediate return or destruction (which destruction shall be certified in writing to LIEN or REFI, as applicable) of all confidential information previously furnished to any Person (other than LIEN, REFI or their respective Affiliates or representatives) with respect to any Takeover Proposal, and (c) not directly or indirectly: (i)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shareholders)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third party (other than LIEN, REFI or their respective affiliates or representatives) any information with respect to, or take any other action to facilitate or in furtherance of any inquiries or the making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77966x1_n14_116-agreement_pg8"/>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that constitutes, or could reasonably be expected to lead to, any Takeover Proposal; (iv) publicly propose or publicly announce an intention to take any of the foregoing actions; or (v) grant any (x) approval pursuant to any takeover statute to any Person (other than LIEN, REFI or their respective affiliates) or with respect to any transaction (other than the transactions) or (y) unless required by applicable fiduciary duties, waiver or release under any standstill or any similar agreement with respect to equity securities of REFI or LIEN. Notwithstanding the foregoing, each party (A) may inform third parties of the relevant provisions contained in the Merger Agreement, and (B) may grant a waiver of, or terminate, any “standstill” or similar obligation of any third party with respect to equity securities of LIEN or REFI in order to allow such third party to confidentially submit a Takeover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REFI and LIEN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REFI or LIEN or their respective representatives in connection with any of the foregoing, and the identity of the Person (or group of Persons) making any such request, Takeover Proposal or inquiry or with whom any discussions or negotiations are taking place. Each of REFI and LIEN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REFI or LIEN and as to the status of all discussions or negotiations with respect to any such request, Takeover Proposal or inquiry.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Takeover Proposals </w:t>
      </w:r>
    </w:p>
    <w:p>
      <w:pPr>
        <w:pStyle w:val="TextBody"/>
        <w:bidi w:val="0"/>
        <w:spacing w:before="1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REFI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or after the date of the Merger Agreement and at any time prior to the REFI Special Meeting: (i) REFI receives a bona fide unsolicited Takeover Proposal; (ii) the REFI Special Committee shall have determined in good faith, after consultation with its outside legal counsel and, with respect to financial matters, any financial advisor, that (x) failure to consider such Takeover Proposal would be reasonably likely to be a breach of the fiduciary duties applicable to the directors of REFI under applicable law and (y) such Takeover Proposal constitutes or is reasonably likely to result in a “REFI Superior Proposal”; and (iii) REFI gives LIEN at least two (2) Business Days prior written notice of the identity of the Person making such Takeover Proposal, the terms and conditions of such Takeover Proposal and REFI’s intention to furnish information to, or participate in discussions and negotiations with, the Person making such Takeover Proposal, then REFI may engage in discussions and negotiations with such third party so long as certain notice and other procedural requirements are satisfied, including providing notice to LIEN within twenty-four (24) hours after determining that a Takeover Proposal constitutes a REFI 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REFI Board shall have determined, after consultation with its outside legal counsel, that continued recommendation of the REFI Proposals to REFI Shareholders would be reasonably likely to be a breach of the fiduciary duties applicable to the directors of REFI under applicable law as a result of a REFI Superior Proposal, REFI may (A) withdraw or qualify (or modify or amend in a manner adverse to LIEN), or publicly propose to withdraw or qualify (or modify or amend in a manner adverse to LIEN), the REFI Board Recommendation, and/or (B) take any action or make any statement, filing or release, in connection with the REFI Special Meeting or otherwise, inconsistent with the REFI Board Recommendation (any action described in clause (A) and (B) referred to collectively with any takeover approval as a “REFI Adverse Recommendation Change”). REFI may terminate the Merger Agreement and enter into an agreement with a third party who makes a REFI Superior Proposal, subject to negotiating in good faith to amend the Merger Agreement so that the REFI Superior Proposal is no longer deemed a REFI Superior Proposal and satisfying certain other procedural requirements. Other than in connection with a Takeover Proposal, nothing in the Merger Agreement shall prohibit or restrict the REFI Board from withdrawing or qualifying or publicly proposing to withdraw or qualify the approval, adoption, recommendation or declaration of the REFI Proposals in response to an Intervening Event (as defined below), subject to the procedures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as described herein, neither REFI nor the REFI Board may make any REFI Adverse Recommendation Change, and no REFI Adverse Recommendation Change will change the approval of the REFI Proposals, including in any respect that would have the effect of causing any takeover statue or similar statute to be applicable to the transactions contemplated by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7966x1_n14_116-agreement_pg9"/>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LIEN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or after the date of the Merger Agreement and at any time prior to the LIEN Special Meeting, (i) LIEN receives a bona fide unsolicited Takeover Proposal; (ii) the LIEN Special Committee shall have determined in good faith, after consultation with its outside legal counsel and, with respect to financial matters, any financial advisor, that (x) failure to consider such Takeover Proposal would be reasonably likely to be a breach of the fiduciary duties applicable to the directors of LIEN under applicable law and (y) such Takeover Proposal constitutes or is reasonably likely to result in a “LIEN Superior Proposal”; and (iii) LIEN gives REFI at least two (2) Business Days prior written notice of the identity of the Person making such Takeover Proposal, the terms and conditions of such Takeover Proposal and LIEN’s intention to furnish information to, or participate in discussions and negotiations with, the Person making such Takeover Proposal, then LIEN may engage in discussions and negotiations with such third party so long as certain notice and other procedural requirements are satisfied, including providing notice to REFI within twenty-four (24) hours after determining that a Takeover Proposal constitutes a LIEN 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LIEN Board shall have determined, after consultation with its outside legal counsel, that continued recommendation of the LIEN Proposals to LIEN Shareholders would be reasonably likely to be a breach of the fiduciary duties applicable to the directors of LIEN under applicable law as a result of a LIEN Superior Proposal, LIEN may (A) withdraw or qualify (or modify or amend in a manner adverse to REFI), or publicly propose to withdraw or qualify (or modify or amend in a manner adverse to REFI), the LIEN Board Recommendation, and/or (B) take any action or make any statement, filing or release, in connection with the LIEN Special Meeting or otherwise, inconsistent with the LIEN Board Recommendation (any action described in clause (A) and (B) referred to collectively with any takeover approval as a “LIEN Adverse Recommendation Change”). LIEN may terminate the Merger Agreement and enter into an agreement with a third party who makes a LIEN Superior Proposal, subject to negotiating in good faith to amend the Merger Agreement so that the LIEN Superior Proposal is no longer deemed a LIEN Superior Proposal and satisfying certain other procedural requirements. Other than in connection with a Takeover Proposal, nothing in the Merger Agreement shall prohibit or restrict the LIEN Board from withdrawing or qualifying or publicly proposing to withdraw or qualify the approval, adoption, recommendation or declaration of the LIEN Proposals in response to an Intervening Event, subject to the procedures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as described above, neither LIEN nor the LIEN Board may make any LIEN Adverse Recommendation Change, and no LIEN Adverse Recommendation Change will change the approval of the LIEN Proposals, including in any respect that would have the effect of causing any takeover statute or similar statute to be applicable to the transactions contemplated by the Merger Agreement. </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Takeover Proposal” means any inquiry, proposal, discussions, negotiations or offer from any Person or group of Persons (other than LIEN or REFI or any of their respective affiliates) (a) with respect to a merger, consolidation, tender offer, exchange offer, stock acquisition, asset acquisition, share exchange, business combination, recapitalization, liquidation, dissolution, joint venture or similar transaction involving REFI or LIEN, as applicable, or any of such party’s respective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REFI or LIEN, as applicable, and such party’s respective subsidiaries, taken as a whole, or (ii) 25% or more of the outstanding shares of capital stock of, or other equity or voting interests in, REFI or in any of REFI’s subsidiaries or, LIEN or in any of LIEN’s subsidiaries, as applicable, in each case other than the Merger and the other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REFI Superior Proposal” means a bona fide written Takeover Proposal that was not knowingly solicited by, or the result of any knowing solicitation by, REFI or any of its subsidiaries or by any of their respective affiliates or representatives in violation of the Merger Agreement, made by a third party that would result in such third party becoming the beneficial owner, directly or indirectly, of more than 75% of the total voting power of REFI or more than 75% of the assets of REFI on a consolidated basis (a) on terms which the REFI Board (upon the recommendation of the REFI Special Committee) determines in good faith to be reasonably likely to be superior for REFI Shareholders (in their capacity as shareholders), taken as a group, from a financial point of view as compared to the Merger (after giving effect to any alternative proposed by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7966x1_n14_116-agreement_pg10"/>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LIEN),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REFI Board (upon the recommendation of the REFI Special Committee) to be reasonably likely to be obtained, as evidenced by a written commitment of a reputable financing source.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LIEN Superior Proposal” means a bona fide written Takeover Proposal that was not knowingly solicited by, or the result of any knowing solicitation by, LIEN or any of its subsidiaries or by any of their respective affiliates or representatives in violation of the Merger Agreement, made by a third party that would result in such third party becoming the beneficial owner, directly or indirectly, of more than 75% of the total voting power of LIEN or more than 75% of the assets of LIEN on a consolidated basis (a) on terms which the LIEN Board determines in good faith to be reasonably likely to be superior for LIEN Shareholders (in their capacity as shareholders), taken as a group, from a financial point of view as compared to the Merger (after giving effect to any alternative proposed by REFI),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LIEN Board (including a majority of the Independent Directors of LIEN) to be reasonably likely to be obtained, as evidenced by a written commitment of a reputable financing source.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Intervening Event” means with respect to any party any event, change or development first occurring or arising after the date of the Merger Agreement that is material to, as applicable, LIEN and its subsidiaries, taken as a whole, or REFI and its subsidiaries, taken as a whole, that was not known to, or reasonably foreseeable by, any member of the party’s board of directors, as of or prior to the date of the Merger Agreement and did not result from or arise out of the announcement or pendency of, or any actions required to be taken by such party (or to be refrained from being taken by such party) pursuant to, the Merger Agreement; provided, however,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LIEN Common Stock; (c) changes in general economic, social or political conditions or the financial markets in general, or (d) general changes or developments in the industries in which the applicable party and its subsidiaries operate, including general changes in law after the date of the Merger Agreement across such industries; provided, however, that the exceptions in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Access to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reasonable notice, except as may otherwise be restricted by applicable law, each of REFI and LIEN will, and will cause its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will, and will cause its subsidiaries to, make available to the other party (including via the SEC’s Electronic Data Gathering, Analysis and Retrieval (EDGAR) system) all other information concerning its business and properties as the other party may reasonably request.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Publicity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and LIEN each shall consult with the other before issuing or causing the publication of any press release or other public announcement with respect to the transactions contemplated by the Merger Agreement, the Merger or the related transactions except as may be required by applicable law, the rules and regulations of the NASDAQ or Nasdaq Stock Market LLC and, to the extent practicable, before such press release or disclosure is issued or made, REFI, LIEN, LIEN Adviser or REFI Manager, as applicable, shall have used commercially reasonable efforts to advise the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7966x1_n14_116-agreement_pg1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parties of, and consult with the other parties regarding, the text of such disclosure; provided, that each of REFI, LIEN, LIEN Adviser or REFI Manager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Takeover Statutes and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LIEN nor REFI will take any action that would cause the transactions contemplated by the Merger Agreement to be subject to the requirements imposed by any takeover statute, and each of LIEN and REFI shall take all necessary steps within its control to exempt (or to ensure the continued exemption of) such transactions from, or if necessary, challenge the validity or applicability of any applicable takeover statute, as now or hereafter in effect.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shall obtain an opinion from Eversheds Sutherland and Nixon Peabody, as counsel to LIEN and to REFI, respectively, generally to the effect that the Merger will qualify as a “reorganization,” within the meaning of Section 368(a) of the Code.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shall reasonably cooperate and consult with one another in connection with defense and settlement of any proceeding by REFI Shareholders or LIEN Shareholders against any of them or any of their respective directors, officers or Affiliates with respect to the Merger Agreement or the transactions contemplated thereby (subject to certain rights and procedures as it relates to information that may be subject to attorney-client privilege), and each of REFI and LIEN shall keep the other party reasonably informed of any material developments in connection with any such proceeding brought by its shareholders and shall not settle any such proceeding without the prior written consent of the other party (such consent not to be unreasonably delayed, conditioned or withheld).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Section 16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the LIEN Board and the REFI Board shall take all such steps as may be required to cause any dispositions of REFI Common Stock (including derivative securities with respect to REFI Common Stock) or acquisitions of LIEN Common Stock (including derivative securities with respect to LIEN Common Stock) resulting from the transactions contemplated by the Merger Agreement by each individual who is subject to the reporting requirements of Section 16(a) of the Exchange Act with respect to LIEN or will become subject to such reporting requirements with respect to REFI, in each case, to be exempt pursuant to Rule 16b-3.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Other Representations or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acknowledge and agree that except for the representations and warranties contained in the Merger Agreement, none of REFI, LIEN, any of REFI’s or LIEN’s subsidiaries, REFI Manager or LIEN Adviser or any other person acting on behalf of the foregoing makes any representation or warranty, express or implied.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REFI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after the occurrence of the BDC Election Time, the REFI Management Agreement shall be automatically terminated and of no further force and effect. Immediately after the occurrence of the Merger Effective Time, the New BDC Advisory Agreement shall be automatically terminated and of no further force and effect.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Coordination of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LIEN and REFI shall coordinate with each other in designating the record and payment dates for any quarterly dividends or distributions to its shareholders declared in accordance with the Merger Agreement in any calendar quarter in which the Closing Date might reasonably be expected to occur.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 Repurchase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has agreed, from and after the date of the Merger Agreement until the Merger Effective Time, to consider in good faith the adoption of a share repurchase program of up to twenty-five million dollars ($25,000,000) to be implemented following Closing, which share repurchase program, if adopted, would be on such terms, and subject to such conditions, as the LIEN Board may reasonably determine to be advisable in the circumstances, taking into account then-current market conditions and such other matters as the LIEN Board determine to be relevant.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7966x1_n14_116-agreement_pg12"/>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to Closing the Merger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Each Party’s Obligations to Effect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LIEN and REFI to complete the Merger are subject to the satisfaction or waiver at or prior to the Merger Effective Time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required approvals of LIEN and REFI Shareholders, including, with respect to LIEN, the Merger Agreement and Merger Stock Issuance Proposal, and, with respect to REFI, the Merger Proposal and BDC Election Matters, are obtained at their respective shareholder meetings;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LIEN Common Stock to be issued in the Merger have been authorized for listing on the NASDAQ, subject to official notice of issuance;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joint proxy statement/prospectus forms a part, has become effective under the Securities Act and no stop order suspending its effectiveness has been issued and no proceedings for that purpose have been initiated by the SEC, and any necessary state securities or “blue sky” authorizations have been received;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order issued by any court or agency of competent jurisdiction or other law preventing, enjoining, restraining or making illegal the consummation of the Merger or any of the other transactions contemplated thereby is in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regulatory approvals required by applicable law to consummate the transactions contemplated by the Merger Agreement, including the Merger, have been obtained and remain in full force and effect and all statutory waiting periods required by applicable law in respect thereof have expired;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proceeding by any governmental entity of competent jurisdiction is pending that challenges the Merger or any of the other transactions contemplated by the Merger Agreement or that otherwise seeks to prevent, enjoin, restrain or make illegal the consummation of the Merger or any of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determination of the Closing REFI NAV and the Closing LIEN NAV, in each case as of the Determination Date, have been completed in accordance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creditors under the REFI Revolving Credit Facility and the REFI Unsecured Notes shall have either agreed to the assumption by LIEN of the indebtedness evidenced thereby or such indebtedness shall have been repaid prior to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receipt of approval of the BDC Election Matters, REFI shall have made the BDC Election in accordance with applicable law; and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the Support Agreements shall have remained in full force and effect. </w:t>
            </w:r>
          </w:p>
        </w:tc>
      </w:tr>
    </w:tbl>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Obligations of LIEN to Effect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LIEN to effect the Merger are also subject to the satisfaction, or waiver by LIEN, at or prior to the Merger Effective Time, of the following conditions: </w:t>
      </w:r>
    </w:p>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REFI, pertaining to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and outstanding capital stock of REFI are true and correct in all respects as of the date of the Merger Agreement and the Closing Date other than for de minimis inaccuracies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events reasonably expected to have a material adverse effect with respect to REFI is true and correct in all respects as of the date of the Merger Agreement and the Closing Date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authority, no violation, brokers, state takeover laws and appraisal rights, in each case, are true and correct in all material respects as of the date of the Merger Agreement and the Closing Date (except to the extent that any such representation and warranty expressly speaks as of an earlier date, in which case such representation and warranty shall be true and correct as of such earlier date);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7966x1_n14_116-agreement_pg13"/>
        <w:bookmarkEnd w:id="1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matters are true and correct, without giving effect to any materiality or material adverse effect qualifications stated therein, as of the date of the Merger Agreement and the Closing Date (except to the extent that any such representation and warranty expressly speaks as of an earlier date, in which case such representation and warranty shall be true and correct as of such earlier date); provided that this condition will be deemed satisfied even if any such representations and warranties of REFI are not so true and correct, unless the failure of such representations and warranties to be so true and correct, individually or in the aggregate, has had or would reasonably be expected to have a material adverse effect with respect to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has performed in all material respects all obligations required to be performed by it under the Merger Agreement at or prior to the Merger Effective Time, and LIEN has received a certificate signed on behalf of REFI by the Chief Executive Officer or the Chief Financial Officer of REFI to such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REFI Manager contained in the Merger Agreement are true and correct, without giving effect to any materiality or material adverse effect qualifications stated therein, as of the date of the Merger Agreement and as of the Closing Date (except to the extent that any such representation and warranty expressly speaks as of an earlier date, in which case such representation and warranty shall be true and correct as of such earlier date); provided, that this condition shall be deemed satisfied even if any such representations and warranties of REFI Manager are not so true and correct, unless the failure of such representations and warranties to be so true and correct, individually or in the aggregate, has had or would reasonably be expected to have a material adverse effect with respect to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has not occurred any condition, change or event that, individually or in the aggregate, has had or would reasonably be expected to have, a material adverse effect in respect of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has delivered within 30 days prior to the Closing Date a duly executed certificate stating that REFI is not and has not been within five years of the certificate a “United States real property holding corporation” within the meaning of Section 897 of the Code in accordance with Treasury Regulations promulgated under Sections 897 and 1445 of the Code;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has received the opinion of its counsel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as set forth in the Merger Agreement, counsel may require and rely upon customary representations contained in tax representation letters and certificates of officers of REFI and LIEN. If counsel for LIEN will not render such an opinion, another counsel reasonably acceptable to LIEN may render such opinion to LIEN in form and substance reasonably satisfactory to LIEN. </w:t>
            </w:r>
          </w:p>
        </w:tc>
      </w:tr>
    </w:tbl>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Obligations of REFI to Effect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REFI to effect the Merger is also subject to the satisfaction or waiver by LIEN, at or prior to the Merger Effective Time, of the following conditions: </w:t>
      </w:r>
    </w:p>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LIEN, pertaining to: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and outstanding capital stock of LIEN are true and correct in all respects as of the date of the Merger Agreement and the Closing Date other than for de minimis inaccuracies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events reasonably expected to have a material adverse effect with respect to LIEN is true and correct in all respects as of the date of the Merger Agreement and the Closing Date (except to the extent that any such representation and warranty expressly speaks as of an earlier date, in which case such representation and warranty shall be true and correct as of such earlier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authority, no violation and brokers, in each case, are true and correct in all material respects as of the date of the Merger Agreement and the Closing Date (except to the extent that any such representation and warranty expressly speaks as of an earlier date, in which case such representation and warranty shall be true and correct as of such earlier date);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7966x1_n14_116-agreement_pg14"/>
        <w:bookmarkEnd w:id="14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matters are true and correct, without giving effect to any materiality or material adverse effect qualifications stated therein, as of the date of the Merger Agreement and the Closing Date (except to the extent that any such representation and warranty expressly speaks as of an earlier date, in which case such representation and warranty shall be true and correct as of such earlier date); provided that this condition shall be deemed satisfied even if any such representations and warranties of LIEN are not so true and correct, unless the failure of such representations and warranties to be so true and correct, individually or in the aggregate, has had or would reasonably be expected to have a material adverse effect with respect to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has performed in all material respects all obligations required to be performed by it under the Merger Agreement at or prior to the Merger Effective Time, and REFI has received a certificate signed on behalf of LIEN by the Chief Executive Officer or the Chief Financial Officer of LIEN to such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LIEN Adviser contained in the Merger Agreement are true and correct, without giving effect to any materiality or material adverse effect qualifications stated therein, as of the date of the Merger Agreement and as of the Closing Date (except to the extent that any such representation and warranty expressly speaks as of an earlier date, in which case such representation and warranty shall be true and correct as of such earlier date); provided, that this condition shall be deemed satisfied even if any such representations and warranties of LIEN are not so true and correct, unless the failure of such representations and warranties to be so true and correct, individually or in the aggregate, has had or would reasonably be expected to have a material adverse effect with respect to LIEN;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has not occurred any condition, change or event that, individually or in the aggregate, has had or would reasonably be expected to have, a material adverse effect in respect of LIEN;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has received the opinion of its counsel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as set forth in the Merger Agreement, counsel may require and rely upon customary representations contained in tax representation letters and certificates of officers of REFI and LIEN. If counsel for REFI will not render such an opinion, another counsel reasonably acceptable to REFI may render such opinion in form and substance reasonably satisfactory to REFI.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Frustration of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party to the Merger Agreement may rely on the failure of any condition applicable to the other party to be satisfied to excuse performance by such party of its obligations under the Merger Agreement if such failure was caused by such party’s failure to act in good faith or use its commercially reasonable efforts to consummate the Merger and the transactions contemplated thereby.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Merger Agreement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 to Terminate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prior to the Merger Effective Time, whether before or after approval of the REFI Proposals by REFI Shareholders or the LIEN Proposals by LIEN Shareholders: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mutual consent of REFI and LIEN, in a written instrument authorized by each of the REFI Board (upon the recommendation of the REFI Special Committee), and the LIEN Board (upon the recommendation of the LIEN Special Committee);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REFI or LIEN,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governmental entity takes any final and non-appealable action that permanently enjoins or prohibits or otherwise makes illegal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June 30, 2027 (the “Termination Date”), provided that the right to terminate the Merger Agreement on this basis shall not be available to any party whose failure to fulfill in any material respect any of its obligations under the Merger Agreement has been the cause of, or resulted in, the event giving rise to the failure to close prior to the Termination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77966x1_n14_116-agreement_pg15"/>
        <w:bookmarkEnd w:id="1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REFI Board shall have failed to approve the Post-BDC Election Approvals or the REFI Shareholders shall have failed to approve any of the BDC Election Matters or the Merger Proposal by the required vote as presented at the REFI Special Meeting or at any adjournment or postponement thereof at which the BDC Election Matters or Merger Proposal have been voted upon; or </w:t>
            </w:r>
          </w:p>
        </w:tc>
      </w:tr>
    </w:tbl>
    <w:tbl>
      <w:tblPr>
        <w:tblW w:w="6640" w:type="dxa"/>
        <w:jc w:val="left"/>
        <w:tblInd w:w="0" w:type="dxa"/>
        <w:tblLayout w:type="fixed"/>
        <w:tblCellMar>
          <w:top w:w="0" w:type="dxa"/>
          <w:left w:w="0" w:type="dxa"/>
          <w:bottom w:w="0" w:type="dxa"/>
          <w:right w:w="0" w:type="dxa"/>
        </w:tblCellMar>
      </w:tblPr>
      <w:tblGrid>
        <w:gridCol w:w="170"/>
        <w:gridCol w:w="6470"/>
      </w:tblGrid>
      <w:tr>
        <w:trPr/>
        <w:tc>
          <w:tcPr>
            <w:tcW w:w="17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LIEN Shareholder approval of the LIEN Proposals is not obtained;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however, that the right to terminate the Merger Agreement pursuant to any of the foregoing will not be available to any party that has breached in any material respect its obligations under the Merger Agreement in any manner that has been the principal cause of or resulted in the failure to consummate the transactions contemplated by the Merger Agreement: </w:t>
      </w:r>
    </w:p>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REFI,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breaches or fails to perform any of its representations, warranties and covenants under the Merger Agreement, which breach, either individually or in the aggregate, would result in the failure of certain REFI closing conditions, and such breach is not curable prior to the Termination Date or if curable prior to the Termination Date, has not been cured within thirty (30) days after the giving of notice thereof by REFI to LIEN (provided that REFI is not then in material breach so as to result in the failure of a LIEN closing condition);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LIEN Proposals by LIEN Shareholders (A) a LIEN Adverse Recommendation Change occurs and/or LIEN adopts, approves or recommends a LIEN Takeover Proposal (or publicly proposes to do any of the foregoing), (B) the LIEN Board fails to recommend that LIEN Shareholders vote in favor of the LIEN Proposals, (C) a Takeover Proposal is publicly announced and LIEN fails to issue, within ten (10) Business Days after such Takeover Proposal is announced, a press release that reaffirms the recommendation of the LIEN Board that LIEN Shareholders vote in favor of the LIEN Proposals or (D) a tender or exchange offer relating to any shares of LIEN Common Stock has been commenced by a third party and LIEN did not send to its shareholders, within ten (10) Business Days after the commencement of such tender or exchange offer, a statement disclosing that the LIEN Board recommends rejection of such tender or exchange offer (the events described in this paragraph, an “Adverse LIEN Termination Event”);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breaches, in any material respect, its no solicitation obligations relating to the solicitation and administration of Takeover Proposals from third parties;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REFI Proposals by REFI Shareholders, (A) REFI is not in material breach of any of the terms of the Merger Agreement and (B) the REFI Board, upon the recommendation of the REFI Special Committee, properly authorizes REFI to enter into, and REFI enters into, a definitive contract with respect to an REFI Superior Proposal; </w:t>
            </w:r>
          </w:p>
        </w:tc>
      </w:tr>
    </w:tbl>
    <w:tbl>
      <w:tblPr>
        <w:tblW w:w="1135" w:type="dxa"/>
        <w:jc w:val="left"/>
        <w:tblInd w:w="0" w:type="dxa"/>
        <w:tblLayout w:type="fixed"/>
        <w:tblCellMar>
          <w:top w:w="0" w:type="dxa"/>
          <w:left w:w="0" w:type="dxa"/>
          <w:bottom w:w="0" w:type="dxa"/>
          <w:right w:w="0" w:type="dxa"/>
        </w:tblCellMar>
      </w:tblPr>
      <w:tblGrid>
        <w:gridCol w:w="110"/>
        <w:gridCol w:w="1025"/>
      </w:tblGrid>
      <w:tr>
        <w:trPr/>
        <w:tc>
          <w:tcPr>
            <w:tcW w:w="110" w:type="dxa"/>
            <w:tcBorders/>
            <w:vAlign w:val="center"/>
          </w:tcPr>
          <w:p>
            <w:pPr>
              <w:pStyle w:val="TableContents"/>
              <w:bidi w:val="0"/>
              <w:spacing w:before="0" w:after="0"/>
              <w:jc w:val="left"/>
              <w:rPr>
                <w:color w:val="000000"/>
              </w:rPr>
            </w:pPr>
            <w:r>
              <w:rPr>
                <w:color w:val="000000"/>
              </w:rPr>
              <w:t>•</w:t>
            </w:r>
          </w:p>
        </w:tc>
        <w:tc>
          <w:tcPr>
            <w:tcW w:w="1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LIEN,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breaches or fails to perform any of its representations, warranties and covenants under the Merger Agreement, which breach, either individually or in the aggregate, would result in the failure of LIEN closing conditions, and such breach is not curable prior to the Termination Date or if curable prior to the Termination Date, has not been cured within thirty (30) days after the giving of notice thereof by LIEN to REFI (provided that LIEN is not then in material breach so as to result in the failure of an REFI closing condition);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REFI Proposals by REFI Shareholders (A) a REFI Adverse Recommendation Change occurs and/or REFI adopts, approves or recommends a REFI Takeover Proposal, (B) REFI fails to recommend that REFI Shareholders vote in favor of the REFI Proposals, (C) a Takeover Proposal is publicly announced and REFI fails to issue, within ten (10) Business Days after such Takeover Proposal is announced, a press release that reaffirms the recommendation of the REFI Board that REFI Shareholders vote in favor of the REFI Proposals or (D) a tender or exchange offer relating to any shares of REFI Common Stock has been commenced by a third party and REFI did not send to REFI Shareholders, within ten (10) Business Days after the commencement of such tender or exchange offer, a statement disclosing that the REFI Board recommends rejection of such tender or exchange offer (the events described in this paragraph, an “Adverse REFI Termination Event”);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7966x1_n14_116-agreement_pg16"/>
        <w:bookmarkEnd w:id="14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REFI breaches, in any material respect, its no solicitation obligations relating to the solicitation and administration of Takeover Proposals from third parties;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approval of the LIEN Proposals by LIEN Shareholders, (A) LIEN is not in material breach of any of the terms of the Merger Agreement and (B) the LIEN Board properly authorizes LIEN to enter into, and LIEN enters into, a definitive contract with respect to a LIEN Superior Proposal. </w:t>
            </w:r>
          </w:p>
        </w:tc>
      </w:tr>
    </w:tbl>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it will become void and have no effect, and there will be no liability on the part of LIEN, REFI, or their respective affiliates or subsidiaries or any of their respective directors or officers, except that (1) LIEN and REFI will remain liable to each other for any damages incurred arising out of any willful or intentional breach of the Merger Agreement or a failure or refusal by a party to consummate the Merger when such party was obligated to do so in accordance with the terms of the Merger Agreement and (2) certain designated provisions of the Merger Agreement will survive the termination.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the parties, by action taken or authorized by their respective boards of directors, at any time before or after approval of the LIEN Proposals by LIEN Shareholders or the REFI Proposals by REFI Shareholders; provided, however, that after any approval of the LIEN Proposals by LIEN Shareholders or the REFI Proposals by REFI Shareholders, there may not be, without further approval of such shareholders, any amendment of the Merger Agreement that requires such further approval under applicable law. The Merger Agreement may not be amended except by an instrument in writing signed on behalf of each of the parties (acting upon the recommendation of the REFI Special Committee, in the case of REFI, or the LIEN Special Committee, in the case of LIEN).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Expenses and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costs and expenses of printing and mailing this joint proxy statement/prospectus and all filing and other fees paid to the SEC in connection with the Merger, all fees and expenses incurred in connection with the BDC Election Matters, the Merger, the Merger Agreement and the related transactions shall be borne as follows: (i) one-half (1/2) of such fees shall be borne by LIEN and (ii) the remaining one-half (1/2) of such fees shall be borne by REFI; provided, however, that REFI Manager shall pay $2,000,000 of such fees and expenses for which REFI is responsible on behalf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payment of the costs and expenses of printing and mailing this joint proxy statement/prospectus and all filing and other fees payable to the SEC in connection with the Merger: (i) LIEN shall be responsible to pay for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Considerations Related to the Merger Agreement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REFI Restricted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BDC Election Time, any vesting conditions applicable to each outstanding share of REFI Restricted Stock shall automatically and without any required action on the part of the holder thereof, accelerate in full and thereafter participate in the Merger along with the other shares of REFI Common Stock; provided, however, that a number of shares of REFI Common Stock having a value equal to the taxes required to be withheld with respect to such vesting may be forfeited in respect of applicable tax withholding obligations, and REFI or LIEN, as the surviving entity in the Merger, will cause the corresponding payment to be remitted on behalf of the holder.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REFI may (i) declare and pay regular quarterly cash dividends of $0.47 per share of REFI Common Stock (or such other amount consistent with past practice and REFI’s publicly disclosed investment objectives).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7966x1_n14_116-agreement_pg17"/>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BDC Election Time, REFI shall declare and pay one or more Tax Dividends in an aggregate amount sufficient to (i) eliminate all of REFI’s accumulated earnings and profits for U.S. federal income tax purposes, including any earnings and profits (A) attributable to any taxable year in which REFI was treated as a C corporation (and not as a REIT) for U.S. federal income tax purposes, (B) accumulated during any taxable year in which REFI qualified as a REIT to the extent not previously distributed, and (C) attributable to REFI’s taxable year ending as a result of the Merger (including any income recognized through the Merger Effective Time), and (ii) reduce REFI’s real estate investment trust taxable income and net capital gain (if any) to zero for REFI’s taxable year ending as a result of the Merger (taking into account the dividends paid deduction as defined in Section 561 of the Code arising from such Tax Dividends).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7966x1_n14_116-agreement_pg18"/>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8" w:name="tACC"/>
      <w:bookmarkEnd w:id="148"/>
      <w:r>
        <w:rPr>
          <w:rFonts w:ascii="Times New Roman;Times;serif" w:hAnsi="Times New Roman;Times;serif"/>
          <w:b/>
          <w:color w:val="000000"/>
          <w:sz w:val="20"/>
        </w:rPr>
        <w:t xml:space="preserve">ACCOUNTING TREATMENT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of each of LIEN and REFI anticipates that the Merger will be accounted for as an asset acquisition in accordance with ASC 805-50, </w:t>
      </w:r>
      <w:r>
        <w:rPr>
          <w:rFonts w:ascii="Times New Roman;Times;serif" w:hAnsi="Times New Roman;Times;serif"/>
          <w:i/>
          <w:color w:val="000000"/>
          <w:sz w:val="20"/>
        </w:rPr>
        <w:t xml:space="preserve">Business Combinations—Related Issues </w:t>
      </w:r>
      <w:r>
        <w:rPr>
          <w:rFonts w:ascii="Times New Roman;Times;serif" w:hAnsi="Times New Roman;Times;serif"/>
          <w:color w:val="000000"/>
          <w:sz w:val="20"/>
        </w:rPr>
        <w:t xml:space="preserve">with LIEN as the accounting acquirer. We refer to the method of accounting required under ASC 805-50 as “purchase accounting” or “asset acquisition accounting.” Under asset acquisition accounting, acquiring assets in groups not only requires ascertaining the cost of the asset (or net assets), but also allocating that cost to the individual assets (or individual assets and liabilities) that make up the group on a relative fair value basis. Per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books. ASC 805-50-30-2 goes on to say asset acquisitions in which the consideration given is cash are measured by the amount of cash paid. However, if the consideration given is not in the form of cash (that is, in the form of noncash assets, liabilities incurred, or equity interests issued), measurement is based on either the fair value of the consideration given or the fair value of the assets (or net assets) acquired, whichever is more clearly evident and, thus, more reliably measurable. In accordance with ASC 805, direct transaction costs of LIEN will be capitalized into the cost basis of the assets acquired while transaction expenses of REFI will be expensed as incurred.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cost of the group of assets acquired in an asset acquisition is allocated to the individual assets acquired or liabilities assumed based on their relative fair values of net identifiable assets acquired other than “non-qualifying” assets (for example cash or financial assets) and does not give rise to goodwill. To the extent that the consideration paid to REFI Shareholders does not approximate the relative fair values of the net identifiable assets of REFI acquired other than “non-qualifying” assets, any such premium (or discount) paid by LIEN will be further allocated to the cost of the REFI assets and liabilities acquired by LIEN pro-rata to their relative fair value, other than “non-qualifying” assets. As REFI does not have any “qualifying” assets, the premium (or discount) must be allocated to “non-qualifying” assets, which are REFI’s investments in loans. Immediately following the closing of the Merger, LIEN, as the surviving company, is required to record its assets at their respective fair values and, as a result, the purchase premium (or discount) allocated to the cost basis of the REFI assets acquired would immediately be recognized as unrealized loss (or gain) on the financial statements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final allocation of the purchase price will be determined after the Merger is completed and after completion of a final analysis to determine the estimated relative fair values of REFI’s assets and liabilities and the fair value of the total consideration to be paid in conjunction with the Merger. Increases or decreases in the estimated fair values of the net assets, commitments, and other items of REFI as compared to the information shown in this joint proxy statement/prospectus may occur. Accordingly, the final adjustments may be materially different from the pro forma adjustments presented in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and REFI Manager do not anticipate any significant repositioning of REFI’s investment portfolio outside of the normal course of investment operations. Additionally, the Merger will not result in a material change to REFI’s investment portfolio due to investment restrictions or a change in accounting policies.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7966x1_n14_117-tax_pg1"/>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0" w:name="tMUS"/>
      <w:bookmarkEnd w:id="150"/>
      <w:r>
        <w:rPr>
          <w:rFonts w:ascii="Times New Roman;Times;serif" w:hAnsi="Times New Roman;Times;serif"/>
          <w:b/>
          <w:color w:val="000000"/>
          <w:sz w:val="20"/>
        </w:rPr>
        <w:t xml:space="preserve">MATERIAL U.S. FEDERAL INCOME TAX CONSIDERATIONS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discussion is (i) a general summary of certain material U.S. federal income tax consequences of the Merger, and (ii) a general summary of certain material U.S. federal income tax consequences of an investment in shares of LIEN Common Stock. This summary does not purport to be a complete description of the income tax consequences of the Merger or applicable to an investment in shares of LIEN Common Stock. For example, the following discussion does not include a description of the tax consequences that may be relevant to certain types of holders subject to special treatment under U.S. federal income tax laws, including shareholders subject to the alternative minimum tax, tax-exempt organizations, insurance companies, dealers in securities, traders in securities that elect to mark-to-market their securities holdings for tax purposes, pension plans and trusts, persons that have a functional currency (as defined in Section 985 of the Code) other than the U.S. dollar, and financial institutions. This summary assumes that investors hold shares of LIEN Common Stock as capital assets (within the meaning of Section 1221 of the Code). The discussion is based upon the Code, Treasury regulations, and administrative and judicial interpretations, each as of the date of the filing of this joint proxy statement/prospectus and all of which are subject to differing interpretations or to change, possibly retroactively, which could affect the continuing validity of this discussion. For purposes of this discussion, references to “dividends” are to dividends within the meaning of the U.S. federal income tax laws and associated regulations and may include amounts subject to treatment as a return of capital under Section 19(a) of the 1940 Act.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Neither LIEN nor REFI has sought nor will they seek any ruling from the Internal Revenue Service (the “IRS”) as to the U.S. federal income tax consequences of the Merger or any related transactions. This summary does not discuss any aspects of U.S. estate or gift tax or non-U.S., state or local tax. It does not discuss the special treatment under U.S. federal income tax laws that could result if LIEN invested in tax-exempt securities or certain other investment assets. You are urged to consult with your own tax advisors and financial planners as to the particular tax consequences of the Merger to you, as applicable, including the applicability and effect of any state, local or non-U.S. laws and the effect of possible changes in applicable tax laws.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discussion herein, a “U.S. shareholder” is a beneficial owner of shares of LIEN Common Stock who is for U.S. federal income tax purposes: </w:t>
      </w:r>
    </w:p>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citizen or individual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created or organized in or under the laws of the United States or any political subdivision thereof;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either a U.S. court can exercise primary supervision over its administration and one or more U.S. persons have the authority to control all of its substantial decisions or the trust has made a valid election to be treated as a domestic trust for U.S. federal income tax purposes.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“Non-U.S. shareholder” is a beneficial owner of shares of LIEN Common Stock that is neither a U.S. shareholder, nor a partnership (including an entity or arrangement treated as a partnership for U.S. federal income tax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treated as a partnership for U.S. federal income tax purposes) holds shares of LIEN Common Stock, the U.S. federal income tax treatment of the partnership and each of the partners in the partnership will generally depend upon the status of the partner, the activities of the partnership and certain determinations made at the partner level. A prospective shareholder that is a partnership, and each partner in such partnership, holding shares of LIEN Common Stock should consult his, her or its own tax advisers with respect to the purchase, ownership and disposition of shares of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Tax matters are very complicated and the tax consequences to an investor of an investment in shares of LIEN Common Stock will depend on the facts of his, her or its particular situation. REFI Shareholders should consult their own tax advisers regarding the specific consequences of the Merger, including tax reporting requirements, the applicability of federal, state, local and non-U.S. tax laws, eligibility for the benefits of any applicable tax treaty and the effect of any possible changes in the tax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7966x1_n14_117-tax_pg2"/>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if the Merger Qualifies as a Reorganization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each of LIEN and REFI to consummate the Merger is contingent upon LIEN’s receipt of an opinion from Eversheds Sutherland, counsel to LIEN, and REFI’s receipt of an opinion from Nixon Peabody, counsel to REFI, each opinion substantially to the effect that, on the basis of facts, representations and assumptions set forth in such opinion, the Merger will be treated as a reorganization within the meaning of Section 368(a) of the Code, with respect to LIEN and REFI, respectively.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qualifies as a reorganization, then generally for U.S. federal income tax purposes: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LIEN upon receipt of REFI’s assets in exchange for LIEN Common Stock and the assumption by LIEN of the liabilities of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tax basis in the assets of REFI transferred to LIEN in the Merger will be the same as REFI’s tax basis in the assets immediately prior to the transfer;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holding periods for the assets of REFI will include the periods during which such assets were held by REFI;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REFI upon the transfer of REFI’s assets to LIEN in exchange for LIEN Common Stock and the assumption by LIEN of the liabilities of REFI or upon the deemed distribution of LIEN Common Stock by REFI to REFI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REFI Shareholders upon the exchange of their REFI Common Stock for LIEN Common Stock, except with respect to cash received instead of a fractional share interest as discussed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tax basis of LIEN Common Stock that a REFI Shareholder receives in connection with the Merger will be the same as the tax basis of the REFI Shareholder’s REFI Common Stock exchanged therefor, reduced by any tax basis that is properly allocable to any fractional share interest of LIEN Common Stock that is redeemed for cash, as discussed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REFI Shareholder’s holding period for its LIEN Common Stock received in the Merger will include the period for which the REFI Shareholder held the REFI Common Stock exchanged therefor;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will succeed to and take into account the items of REFI described in Section 381(c) of the Code, subject to the conditions and limitations specified in the Code and the U.S. Treasury regulations thereunder.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tax opinions described above will be based on then-existing law, will be subject to certain assumptions, qualifications and exclusions and will be based in part on the truth and accuracy of certain representations by LIEN and REFI.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in lieu of a Fractional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REFI Shareholder receives cash instead of a fractional share of LIEN Common Stock, the REFI Shareholder will be treated as having received the fractional share of LIEN Common Stock pursuant to the Merger and then as having sold that fractional share of LIEN Common Stock for cash. As a result, each such REFI Shareholder generally will recognize gain or loss equal to the difference between the amount of cash received and the adjusted tax basis in his, her or its fractional share of LIEN Common Stock. This gain or loss generally will be a capital gain or loss and will be long-term capital gain or loss if, as of the Merger Effective Time, the holding period for the shares (including the holding period of REFI Common Stock surrendered therefor) is greater than one year. The deductibility of capital losses is subject to limitations. U.S. federal backup withholding tax may be imposed on any cash received instead of a fractional share interest.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Utilization of Loss Carryforwards and Unrealized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RIC cannot carry forward or carry back any net operating losses for U.S. federal income tax purposes. Accordingly, LIEN cannot use any net operating losses inherited from REFI in the Merger, if 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Merger, LIEN may be limited in its ability to use REFI’s other loss carryforwards (if any), including capital loss carryforwards, and potentially the use of unrealized capital losses inherent in the tax basis of the assets acquired, once realized. In addition, similar limitations might apply to LIEN’s own losses and loss carryforwards following the Merger. These potential limitations generally would be imposed on an annual basis. Losses in excess of the limitation may be carried forward indefinitely for capital loss carryforwards and net operating loss carryforwards.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7966x1_n14_117-tax_pg3"/>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Distribution of Income and Gains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REFI’s tax year is expected to end as a result of the Merger. REFI generally will be required to declare to its shareholders of record one or more distributions of all of its previously undistributed “earnings and profits” for U.S. federal income tax purposes described in Section 852(a)(2)(B) of the Code, which would provide REFI a deduction for dividends paid under Section 561 of the Code sufficient to reduce both its REIT taxable income and its net capital gain (if any) to zero for its taxable year ending with the Merger and enable REFI to maintain its qualification as a REIT through its tax year ending with the date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if LIEN has net investment company taxable income or net realized capital gain, but has not distributed such income or gain prior to the Merger and you acquire shares of LIEN Common Stock in the Merger, a portion of your subsequent distributions from LIEN may, in effect, be a taxable return of part of your investment.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Taxation of an Investment in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the U.S. federal income taxation of an investment in LIEN Common Stock. This discussion is not intended as a substitute for careful tax planning. You should consult your tax advisor about your specific tax situation.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as a RIC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elected to be treated, and intends to comply with the requirements to continue to qualify annually, as a RIC under subchapter M of the Code. However, no assurance can be given that LIEN will be able to maintain its RIC tax treatment. As a RIC, LIEN generally will not be subject to U.S. federal income tax on any net ordinary income or capital gains that it timely distributes (or is deemed to distribute) each tax year to its shareholders as dividends for U.S. federal income tax purposes. LIEN will be subject to U.S. federal income tax imposed at corporate rates on any income or gains that it does not timely distribute (or is deemed to timely distribute) to its shareholders. To qualify as a RIC, LIEN must, among other things, meet certain source-of-income and asset diversification requirements (as described below). In addition, LIEN generally must distribute to its shareholders, for each taxable year, dividends for U.S. federal income tax purposes of an amount at least equal to 90% of its investment company taxable income, which is generally its net ordinary income plus the excess of realized net short-term capital gains over realized net long term capital losses and determined without regard to any deduction for dividends paid (the “Annual Distribution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LIEN will be subject to a nondeductible 4% U.S. federal excise tax on certain undistributed income unless it distributes amounts treated as dividends for U.S. federal income tax purposes in a timely manner to its shareholders of an amount at least equal to the sum of (1) 98% of its net ordinary income (taking into account certain deferrals and elections) for the calendar year, (2) 98.2% of its capital gain net income, which is the excess of capital gains over capital losses (“capital gain net income”) (as adjusted for certain ordinary losses), for the one-year period ending October 31 of that calendar year and (3) any net ordinary income and capital gain net income for the preceding years that were not distributed during such years and on which it did not incur any U.S. federal income tax (the “Excise Tax Distribution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previously incurred, and may incur in the future, such excise tax on a portion of its income and capital gains. While LIEN intends to make sufficient distributions or deemed distributions each year to avoid liability for this excise tax, it may not be able to, or may choose not to, distribute amounts sufficient to avoid the imposition of the tax entirely. No assurance can be given that this will always be accomplished. In the event LIEN does not meet the Excise Tax Distribution Requirement, LIEN generally will be liable for the excise tax only on the amount by which it does not meet such requirement. Under certain circumstances, however, LIEN may, in its sole discretion, determine that it is in LIEN’s best interests to retain a portion of its income or capital gains rather than distribute such amount as dividends and accordingly cause LIEN to bear the excise tax burden associated therewith.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qualify as a RIC for U.S. federal income tax purposes, LIEN must, in addition to satisfying the Annual Distribution Requirement among other things: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 to qualify to be treated as a BDC under the 1940 Act at all times during each tax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derive in each tax year at least 90% of its gross income from dividends, interest, payments with respect to certain securities loans, gains from the sale of stock or other securities, net income from certain “qualified publicly traded partnerships” (as defined in the Code) or other income derived with respect to its business of investing in such stock or other securities (the “90% Income Test”);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7966x1_n14_117-tax_pg4"/>
        <w:bookmarkEnd w:id="153"/>
        <w:r>
          <w:rPr>
            <w:rStyle w:val="InternetLink"/>
            <w:rFonts w:ascii="Times New Roman;Times;Serif" w:hAnsi="Times New Roman;Times;Serif"/>
            <w:b/>
            <w:caps w:val="false"/>
            <w:smallCaps w:val="false"/>
            <w:color w:val="000000"/>
            <w:sz w:val="16"/>
          </w:rPr>
          <w:t>TABLE OF CONTENTS</w:t>
        </w:r>
      </w:hyperlink>
    </w:p>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diversify its holdings so that at the end of each quarter of the tax year: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least 50% of the value of its assets consists of cash, cash equivalents, U.S. government securities, securities of other RICs, and other securities if such other securities of any one issuer do not represent more than 5% of the value of LIEN’s assets or more than 10% of the outstanding voting securities of such issuer;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more than 25% of the value of its assets is invested in (i) the securities, other than U.S. government securities or securities of other RICs, of one issuer, (ii) the securities, other than the securities of other RICs, of two or more issuers that are controlled, as determined under applicable Code rules, by it and that are engaged in the same or similar or related trades or businesses or (iii) the securities of certain “qualified publicly traded partnerships” (the requirements of this bullet and the bullet immediately above it are referred to herein as the “Diversification Tests”).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RIC is limited in its ability to deduct expenses in excess of its “investment company taxable income” (which is, generally, ordinary income plus the excess of realized net short-term capital gains over realized net long-term capital losses). If its expenses in a given year exceed its investment company taxable income, LIEN would experience a net operating loss for that year. However, a RIC is not permitted to carry forward net operating losses to subsequent years and such net operating losses do not pass through to its shareholders.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and use them to offset capital gains, indefinitely. Due to these limits on the deductibility of expenses and net capital losses, LIEN may, for U.S. federal income tax purposes, have aggregate taxable income for several years that it is required to distribute and that is taxable to its shareholders even if such income is greater than the aggregate net income it actually earned during those years. Such required distributions may be made from its cash assets or by liquidation of investments, if necessary. LIEN may realize gains or losses from such liquidations. In the event LIEN realizes net capital gains from such transactions, a shareholder may receive a larger capital gain distribution than it would have received in the absence of such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U.S. federal income tax purposes, LIEN may be required to recognize taxable income in circumstances in which it does not receive a corresponding payment in cash. For example, if LIEN holds debt obligations that are treated under applicable tax rules as having original issue discount (such as debt instruments with payment-in-kind (“PIK”) interest or, in certain cases, increasing interest rates or issued with warrants), LIEN must include in taxable income each year a portion of the original issue discount that accrues over the life of the obligation, regardless of whether cash representing such income is received by it in the same taxable year. LIEN may also have to include in income other amounts that it has not yet received in cash, such as PIK interest and deferred loan origination fees that are paid after origination of the loan.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any original issue discount or other amounts accrued are included in its investment company taxable income for the year of accrual, LIEN may be required to make a distribution to its shareholders in order to satisfy the Annual Distribution Requirement, even though it will not have received the corresponding cash amount. Accordingly, to enable LIEN to satisfy the Annual Distribution Requirement, it may need to sell some of its assets at times and/or at prices that it would not consider advantageous, it may need to raise additional equity or debt capital or it may need to forego new investment opportunities or otherwise take actions that are disadvantageous to its business (or be unable to take actions that are advantageous to its business). If LIEN is unable to obtain cash from other sources to enable it to satisfy the Annual Distribution Requirement, it may fail to qualify for the U.S. federal income tax benefits allowable to RICs and, thus, become subject to U.S. federal income tax imposed at corporate 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LIEN does not presently expect to do so, LIEN is authorized to borrow funds, to sell assets and to make taxable distributions of its stock and debt securities in order to satisfy the Annual Distribution Requirement. LIEN’s ability to dispose of assets may be limited by (i) the illiquid nature of its portfolio and/or (ii) other requirements relating to its status as a RIC, including the Diversification Tests. If LIEN disposes of assets in order to meet the Annual Distribution Requirement, it may make such dispositions at times that, from an investment standpoint, are not advantageous. If LIEN is unable to obtain cash from other sources to satisfy the Annual Distribution Requirement, it may fail to qualify for tax treatment as a RIC and become subject to tax as an ordinary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1940 Act, LIEN is generally not permitted to make distributions to its shareholders while its debt obligations and other senior securities are outstanding unless certain “asset coverage” tests are met. Limits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7966x1_n14_117-tax_pg5"/>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distributions to LIEN’s shareholders may prevent it from satisfying the Annual Distribution Requirement and, therefore, may jeopardize its qualification for taxation as a RIC, or prevent it from satisfying the Excise Tax Distribution Requirement. If LIEN is prohibited from making distributions, it may fail to qualify for tax treatment as a RIC and become subject to tax as an ordinary corporation.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 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LIEN’s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LIEN to recognize income or gain without a corresponding receipt of cash, (v) adversely affect the time as to when a purchase or sale of securities is deemed to occur, (vi) adversely alter the characterization of certain complex financial transactions, and (vii) generate income that will not be qualifying income for purposes of the 90% Income Test. LIEN intends to monitor its transactions and may make certain tax decisions in order to mitigate the potential adverse effect of these provisions, but there can be no assurance that any adverse effects of these provisions will be mitigated.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Investment income received from non-U.S. sources, or capital gains earned by investing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LIEN to a reduced rate of or exemption from withholding tax on investment income and gains. The effective rate of non-U.S. tax cannot be determined at this time since the amount of LIEN’s assets to be invested within various countries is not now known. LIEN does not anticipate being eligible for the special election that allows a RIC to treat non-U.S. income taxes paid by such RIC as paid by its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purchases shares in a passive foreign investment company, or “PFIC”, LIEN may be subject to U.S. federal income tax on any “excess distribution” received on, or any gain from the disposition of such shares. Additional charges in the nature of interest generally will be imposed on LIEN in respect of deferred taxes arising from any such excess distribution or gains. This additional tax and interest may apply even if LIEN makes a distribution in an amount equal to any “excess distribution” or gain from the disposition of such shares as a taxable dividend by LIEN to its shareholders. If LIEN invests in a PFIC and elects to treat the PFIC as a qualified electing fund under the Code, or “QEF”, in lieu of the foregoing requirements, LIEN will be required to include in income each year its proportionate share of the ordinary earnings and net capital gain of the QEF, even if such income is not distributed to LIEN. Alternatively, LIEN may be able to elect to mark-to-market at the end of each taxable year its shares in a PFIC; in this case, LIEN will recognize as ordinary income any increase in the value of such shares and as ordinary loss any decrease in such value to the extent it does not exceed prior increases included in income. Under either election, LIEN may be required to recognize income in excess of LIEN’s distributions from PFICs and LIEN’s proceeds from dispositions of PFIC stock during that year, and such income will nevertheless be subject to the Annual Distribution Requirement and will be taken into account for purposes of the Excise Tax Distribution Requirement. LIEN intends to limit and/or manage its holdings in PFICs to minimize its liability for any taxes and related interest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holds more than 10% of the shares in a foreign corporation that is treated as a controlled foreign corporation, or “CFC,” LIEN may be treated as receiving a deemed distribution (taxable as ordinary income) each year from such foreign corporation in an amount equal to its pro rata share of certain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of a corporation or 10% or more of the total value of all classes of shares of a corporation. If LIEN is treated as receiving a deemed distribution from a CFC, LIEN will be required to include such distribution in its investment company taxable income regardless of whether LIEN receives any actual distributions from such CFC, and such income will be subject to the Annual Distribution Requirement and will be taken into account for purposes of the Excise Tax Distribution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Income inclusions from a QEF or a CFC will be “good income” for purposes of the 90% Income Test provided that they are derived in connection with LIEN’s business of investing in stocks and securities or the QEF or the CFC, as applicable, distributes such income to LIEN in the same taxable year to which the income is included in LIEN’s income.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7966x1_n14_117-tax_pg6"/>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Foreign exchange gains and losses realized by LIEN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its shareholders. Any such transactions that are not directly related to its investment in securities (possibly including speculative currency positions or currency derivatives not used for hedging purposes) could, under future Treasury regulations, produce income not among the types of “qualifying income” for purposes of the 90% Income Test.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of LIEN to Qualify as a RIC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fails to qualify for treatment as a RIC, and certain relief provisions are not applicable, LIEN would be subject to U.S. federal income tax on all of its taxable income (including its net capital gains) imposed at regular corporate rates. LIEN would not be able to deduct distributions to its shareholders, nor would they be required to be made. Distributions, including distributions of net long-term capital gain, would generally be taxable to its shareholders as ordinary dividend income to the extent of its current and accumulated earnings and profits. Subject to certain holding periods and other limitations under the Code, LIEN’s corporate shareholders would be eligible to claim a dividend received deduction with respect to such dividend and its non-corporate shareholders would generally be able to treat such dividends as “qualified dividend income,” which are subject to reduced rates of U.S. federal income tax. Distributions in excess of its current and accumulated earnings and profits would be treated first as a return of capital to the extent of the shareholder’s adjusted tax basis, and any remaining distributions would be treated as a capital gain. In order to requalify as a RIC, in addition to the other requirements discussed above, LIEN would be required to distribute all of its previously undistributed earnings attributable to the period LIEN failed to qualify as a RIC by the end of the first year that LIEN intends to requalify as a RIC. If LIEN fails to requalify as a RIC for a period greater than two taxable years, LIEN may be subject to U.S. federal income tax at regular corporate rates on any net built-in gains with respect to certain of its assets (i.e., the excess of the aggregate gains, including items of income, over aggregate losses that would have been realized with respect to such assets if LIEN had been liquidated) that LIEN elects to recognize on requalification or when recognized over the next five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remainder of this discussion assumes that LIEN maintains its qualification as a RIC and has satisfied the Annual Distribution Requirement.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U.S.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subsection applies to U.S. shareholders, only. If you are not a U.S. shareholder, this subsection does not apply to you and you should refer to “—</w:t>
      </w:r>
      <w:r>
        <w:rPr>
          <w:rFonts w:ascii="Times New Roman;Times;serif" w:hAnsi="Times New Roman;Times;serif"/>
          <w:i/>
          <w:color w:val="000000"/>
          <w:sz w:val="20"/>
        </w:rPr>
        <w:t xml:space="preserve">Taxation of Non-U.S. Shareholders” </w:t>
      </w:r>
      <w:r>
        <w:rPr>
          <w:rFonts w:ascii="Times New Roman;Times;serif" w:hAnsi="Times New Roman;Times;serif"/>
          <w:color w:val="000000"/>
          <w:sz w:val="20"/>
        </w:rPr>
        <w:t xml:space="preserve">below. </w:t>
      </w:r>
    </w:p>
    <w:p>
      <w:pPr>
        <w:pStyle w:val="TextBody"/>
        <w:bidi w:val="0"/>
        <w:spacing w:before="25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Distributions by LIEN generally are taxable to U.S. shareholders as ordinary income or capital gains. Distributions of LIEN’s investment company taxable income (which is generally its net ordinary income plus realized net short-term capital gains in excess of realized net long-term capital losses) will be taxable as ordinary income to U.S. shareholders to the extent of its current or accumulated earnings and profits, whether paid in cash or reinvested in additional shares of LIEN Common Stock. To the extent such distributions paid by LIEN to non-corporate shareholders (including individuals) are attributable to dividends from U.S. corporations and certain qualified foreign corporations and if certain holding period requirements are met, such distributions (“Qualifying Dividends”) generally may be eligible for reduced rates of U.S. federal tax. In this regard, it is anticipated that distributions paid by LIEN will generally not be attributable to dividends received by LIEN and, therefore, generally will not qualify for the reduced rates of tax applicable to Qualifying Dividends. Distributions of LIEN’s net capital gains (which are generally its realized net long-term capital gains in excess of realized net short-term capital losses) properly designated by LIEN as “capital gain dividends” in written statements furnished to its shareholders will be taxable to a U.S. shareholder as long-term capital gains regardless of the U.S. shareholder’s holding period for his, her or its common stock and regardless of whether paid in cash or reinvested in additional shares of LIEN Common Stock. In the case of a U.S. shareholder that is an individual, trust, or estate, net capital gain is currently subject to reduced rates of U.S. federal income tax. Distributions in excess of LIEN’s earnings and profits first will reduce a U.S. shareholder’s adjusted tax basis in such shareholder’s common stock and, after the adjusted tax basis is reduced to zero, will constitute capital gains to such U.S.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LIEN currently intends to distribute any net capital gains at least annually, LIEN may in the future decide to retain some or all of its net capital gains, but designate the retained amount as a “deemed distribution.” In that case,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77966x1_n14_117-tax_pg7"/>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among other consequences, (i) LIEN will pay tax on the retained amount, (ii) each U.S. shareholder will be required to include their share of the deemed distribution in income as if it had been actually distributed to the U.S. shareholder, and (iii) the U.S. shareholder will be entitled to claim a credit equal to their allocable share of the tax paid on the deemed distribution by LIEN. The amount of the deemed distribution net of such tax will be added to the U.S. shareholder’s tax basis for their shares of LIEN Common Stock. Since LIEN expects to pay tax on any retained net capital gains at its regular corporate tax rate, and since that rate is in excess of the maximum rate currently payable by individuals on long-term capital gains, the amount of tax that individual shareholders will be treated as having paid and for which they will receive a credit will exceed the tax they owe on the retained net capital gain. Such excess generally may be claimed as a credit against the U.S. shareholder’s other U.S. federal income tax obligations or may be refunded to the extent it exceeds a shareholder’s liability for U.S. federal income tax. In order to utilize the deemed distribution approach, LIEN must provide written notice to its shareholders prior to the expiration of 60 days after the close of the relevant tax year. LIEN cannot treat any of its investment company taxable income as a “deemed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“publicly offered RIC” is a RIC whose shares are (i) continuously offered pursuant to a public offering, (ii) regularly traded on an established securities market or (iii) held by at least 500 persons at all times during the taxable year. In accordance with certain applicable Treasury regulations and guidance published by the IRS, a publicly offered RIC may treat a distribution of its own stock as fulfilling the Annual Distribution Requirement if each shareholder may elect to receive his or her entire distribution in either cash or stock of the RIC, subject to a limitation that the aggregate amount of cash to be distributed to all shareholders must be at least 20% of the aggregate declared distribution. If too many shareholders elect to receive cash, the cash available for distribution must be allocated among shareholders electing to receive cash (with the balance of the distribution paid in stock). In no event will any shareholder, electing to receive cash, receive less than the lesser of (a) the portion of the distribution such shareholder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LIEN has no current intention of paying dividends in shares of its stock in accordance with these Treasury regulations or published guidance.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determining (1) whether the Annual Distribution Requirement is satisfied for any tax year and (2) the amount of capital gain dividends paid for that tax year, LIEN may, under certain circumstances, elect to treat a distribution that is paid during the following tax year as if it had been paid during the tax year in question. If LIEN makes such an election, the U.S. shareholder will still be treated as receiving the distribution in the tax year in which the distribution is made, and LIEN may be subject to the 4% excise tax on such amounts. However, any distribution declared by LIEN in October, November or December of any calendar year, payable to shareholders of record on a specified date in such a month and actually paid during January of the following calendar year, will be treated as if it had been received by LIEN’s U.S. shareholders on December 31 of the calendar year in which the distribution was declared.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investor acquires shares of LIEN Common Stock shortly before the record date of a distribution, the price of the shares of LIEN Common Stock may include the value of the distribution and the investor will be subject to tax on the distribution even though it represents a return of their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(or if a U.S. shareholder holds shares through an intermediary, such intermediary) will send to each of its U.S. shareholders, as promptly as possible after the end of each calendar year, a notice detailing, on a per distribution basis, the amounts includible in such U.S. shareholder’s taxable income for such year as ordinary income and as long-term capital gain. In addition, the U.S. federal tax status of each year’s distributions from LIEN generally will be reported to the IRS (including the amount of distributions, if any, eligible for preferential rates). Distributions paid by LIEN generally will not be eligible for the corporate dividends received deduction or the preferential tax rate applicable to Qualifying Dividends because LIEN’s income generally will not consist of Qualifying Dividends. </w:t>
      </w:r>
    </w:p>
    <w:p>
      <w:pPr>
        <w:pStyle w:val="TextBody"/>
        <w:bidi w:val="0"/>
        <w:spacing w:before="40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shareholder generally will recognize taxable gain or loss if the U.S. shareholder sells or otherwise disposes of its shares of LIEN Common Stock. The amount of gain or loss will be measured by the difference between such shareholder’s adjusted tax basis in the LIEN Common Stock sold and the amount of the proceeds received in exchange. Any gain or loss arising from such sale or disposition generally will be treated as long-term capital gain or loss if the U.S. shareholder has held their shares of LIEN Common Stock for more than one year. Otherwise, it would be classified as short-term capital gain or loss. However, any capital loss arising from the sale or disposition of shares of LIEN Common Stock held for six months or less will be treated as long-term capital loss to the extent of the amount of capital gain dividends received, or undistributed capital gain deemed received, with respect to such shares. In addition,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77966x1_n14_117-tax_pg8"/>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or a portion of any loss recognized upon a disposition of shares of LIEN Common Stock may be disallowed under “wash sale” rules if other shares of LIEN Common Stock are purchased (whether through reinvestment of distributions or otherwise) within a period of 61 days beginning 30 days before and ending 30 days or after the disposition. In such case, the basis of the LIEN Common Stock acquired will be increased to reflect the disallowed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non-corporate U.S. shareholders currently are subject to reduced rates of U.S. federal income tax on their net capital gain (i.e., the excess of realized net long-term capital gain over realized net short-term capital loss for a taxable year), including any long-term capital gain derived from an investment in shares of LIEN Common Stock. Such rates are lower than the maximum federal income tax rate on ordinary taxable income currently payable by individuals. Corporate U.S. shareholders currently are subject to U.S. federal income tax on net capital gain at the 21% rate also applied to ordinary income. Non-corporate U.S. shareholders incurring net capital losses for a tax year (i.e., net capital losses in excess of net capital gains) generally may deduct up to $3,000 of such losses against their ordinary income each year; any net capital losses of a non-corporate U.S. shareholder in excess of $3,000 generally may be carried forward and used in subsequent tax years, subject to certain limitations, as provided in the Code. Corporate U.S. shareholders generally may not deduct any net capital losses for any tax year, but may carry back such losses for three tax years or carry forward such losses for five tax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additional 3.8% Medicare surtax is imposed on certain net investment income (including ordinary dividends and capital gain distributions received from LIEN and net gains from redemptions or other taxable dispositions of shares of LIEN Common Stock) of U.S. individuals, estates and trusts to the extent that such person’s “modified adjusted gross income” (in the case of an individual) or “adjusted gross income” (in the case of an estate or trust) exceeds certain threshold amounts. </w:t>
      </w:r>
    </w:p>
    <w:p>
      <w:pPr>
        <w:pStyle w:val="TextBody"/>
        <w:bidi w:val="0"/>
        <w:spacing w:before="29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may be required to withhold U.S. federal income tax, or backup withholding, currently at a rate of 24%, from all distributions to any non-corporate U.S. shareholder (1) who fails to furnish LIEN with a correct taxpayer identification number or a certificate that such shareholder is exempt from backup withholding or (2) with respect to whom the IRS notifies LIEN that such shareholder has failed to properly report certain interest and dividend income to the IRS and to respond to notices to that effect. An individual’s taxpayer identification number generally is his or her social security number. Any amount withheld under backup withholding is allowed as a credit against the U.S. shareholder’s U.S. federal income tax liability, provided that proper information is provided to the IRS. </w:t>
      </w:r>
    </w:p>
    <w:p>
      <w:pPr>
        <w:pStyle w:val="TextBody"/>
        <w:bidi w:val="0"/>
        <w:spacing w:before="29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Shelter Reporting Regulations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U.S. Treasury regulations, if a U.S. shareholder recognizes a loss with respect to shares of LIEN Common Stock of $2 million or more in the case of a non-corporate shareholder or $10 million or more in the case of a corporate shareholder in any single tax year (or a greater loss over a combination of tax years), such U.S. shareholder must file with the IRS a disclosure statement on IRS Form 8886. Direct U.S. shareholders of portfolio securities are in many cases excepted from this reporting requirement, but under current guidance, U.S. shareholders of a RIC are not excepted. The fact that a loss is reportable by a taxpayer under these U.S. Treasury regulations does not affect the legal determination of whether the taxpayer’s treatment of the loss is proper. U.S. shareholders should consult their tax advisers to determine the applicability of these U.S. Treasury regulations in light of their individual circumstances.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Non-U.S.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an investment in the shares of LIEN Common Stock is appropriate for a Non-U.S. shareholder will depend upon that person’s particular circumstances. An investment in the shares of LIEN Common Stock by a Non-U.S. shareholder may have adverse tax consequences. Non-U.S. shareholders of LIEN should consult their tax advisers before approving the Merger and the Merger Agreement. </w:t>
      </w:r>
    </w:p>
    <w:p>
      <w:pPr>
        <w:pStyle w:val="TextBody"/>
        <w:bidi w:val="0"/>
        <w:spacing w:before="30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Dispositions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backup withholding and FATCA (defined below) discussions below, distributions of LIEN’s investment company taxable income to Non-U.S. shareholders (including ordinary income and realized net short-term capital gains in excess of realized long-term capital losses) will be subject to withholding of U.S. federal income tax imposed at a 30% rate (or lower rate provided by an applicable income tax treaty) to the extent of LIEN’s current and accumulated earnings and profits unless an applicable exception applies. For distributions made to Non-U.S. shareholders, no withholding is required and the distributions generally are not subject to U.S. withholding tax if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7966x1_n14_117-tax_pg9"/>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the distributions are properly reported to its shareholders as “interest-related dividends” or “short-term capital gain dividends,” (ii) the distributions are derived from sources specified in the Code for such dividends and (iii) certain other requirements are satisfied. No assurance can be given as to whether any significant amount of LIEN’s distributions would be designated as eligible for this exemption from withholding. If the distributions are effectively connected with the conduct of a trade or business in the United States (“U.S. trade or business”) by the Non-U.S. shareholder (and, if required by an applicable income tax treaty, are attributable to a permanent establishment in the United States maintained by the Non-U.S. shareholder), LIEN will not be required to withhold U.S. federal tax if the Non-U.S. shareholder complies with the applicable certification and disclosure requirements, although the distributions will be subject to U.S. federal income tax at the rates applicable to U.S. persons. (Special certification requirements apply to a Non-U.S. shareholder that is a foreign partnership or a foreign trust, and such entities are urged to consult their own tax advisers.)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shares held through an intermediary, the intermediary may withhold even if LIEN designates the payment as an “interest-related dividend” or “short-term capital gain dividend.” Non-U.S. shareholders should contact their intermediaries with respect to the application of these rules to their accounts.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FATCA (defined below) discussion below, actual or deemed distributions of LIEN’s net capital gains to a Non-U.S. shareholder, and gains realized by a Non-U.S. shareholder upon the sale of its shares, generally will not be subject to U.S. federal income or withholding tax unless (i) the distributions or gains, as the case may be, are effectively connected with a U.S. trade or business of the Non-U.S. shareholder (and, if required by an applicable income tax treaty, are attributable to a permanent establishment maintained by the Non-U.S. shareholder in the United States), or (ii) such Non-U.S. shareholder is an individual present in the United States for 183 days or more during the year of the distribution or gain. The tax consequences to Non-U.S. shareholders entitled to claim the benefits of an applicable tax treaty or that are individuals that are present in the U.S. for 183 days or more during a taxable year may be different from those described herein. Non-U.S. shareholders are urged to consult their tax advisers with respect to the procedure for claiming the benefit of a lower treaty rate and the applicability of foreign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LIEN distributes its net capital gains in the form of deemed rather than actual distributions, a Non-U.S. shareholder will be entitled to a U.S. federal income tax credit or tax refund equal to the shareholder’s allocable share of the tax LIEN pays on the capital gains deemed to have been distributed. In order to obtain the refund, the Non-U.S. shareholder must obtain a U.S. taxpayer identification number and file a U.S. federal income tax return even if the Non-U.S. shareholder would not otherwise be required to obtain a U.S. taxpayer identification number or file a U.S. federal income tax return.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actual or deemed distributions of its net capital gains, or any gains realized upon the sale, exchange or other taxable disposition of LIEN Common Stock, are effectively connected with a U.S. trade or business of the Non-U.S. shareholder (and, if an income tax treaty applies, are attributable to a permanent establishment maintained by the Non-U.S. shareholder in the United States), such amounts will be subject to U.S. federal income tax, on a net income basis, in the same manner, and at the rates applicable to, a U.S.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corporate Non-U.S. shareholder, distributions (both actual and deemed) and gains realized upon the sale of its shares that are effectively connected to a U.S. trade or business may, under certain circumstances, be subject to an additional “branch profits tax” at a 30% rate (or at a lower rate if provided for by an applicable treaty). Accordingly, investment in the shares may not be appropriate for a Non-U.S. shareholder.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must generally report to its documented Non-U.S. shareholders and the IRS the amount of dividends paid during each calendar year and the amount of any tax withheld. Information reporting requirements may apply even if no withholding was required because the distributions were effectively connected with the Non-U.S. shareholder’s conduct of a U.S. trade or business or withholding was reduced or eliminated by an applicable income tax treaty. This information also may be made available under a specific treaty or agreement with the tax authorities in the country in which the Non-U.S. shareholder is resident for tax purposes. Under U.S. federal income tax law, interest, dividends and other reportable payments may, under certain circumstances, be subject to “backup withholding” at the then applicable rate (currently 24%). Backup withholding, however, generally will not apply to distributions to a Non-U.S. shareholder, provided the Non-U.S. shareholder furnishes to LIEN the required certification as to its non-U.S. status, such as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7966x1_n14_117-tax_pg10"/>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providing a valid IRS Form W-8BEN or IRS Form W-8BEN-E, or certain other requirements are met. Backup withholding is not an additional tax but can be credited against a Non-U.S. shareholder’s U.S. federal income tax, and may be refunded to the extent it results in an overpayment of tax and the appropriate information is timely supplied to the IRS.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Account Tax Compliance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Legislation commonly referred to as the Foreign Account Tax Compliance Act, or “FATCA”, generally imposes a 30% withholding tax on payments of certain types of income to foreign financial institutions (“FFIs”) unless such FFIs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implementing legislation or regulation. The types of income subject to the tax include U.S.-source interest and dividends. While the Code would also require withholding on payments of the gross proceeds from the sale of any property that could produce U.S.-source interest or dividends, the U.S. Department of the Treasury has indicated its intent to eliminate this requirement in proposed regulations, which state that taxpayers may rely on the proposed regulations until final regulations are issued. The information required to be reported generally includes the identity and taxpayer identification number of each account holder that is a specified U.S. person and certain financial information associated with the holder’s account. In addition, subject to certain exceptions, this legislation also imposes a 30% withholding on certain payments to certain foreign entities that are not financial institutions unless the foreign entity certifies that it does not have a greater than 10% owner that is a specified U.S. person or provides the withholding agent with identifying information on each greater than 10% owner that is a specified U.S. person. Depending on the status of the Non-U.S. shareholder and the status of the intermediaries through which they hold their shares, Non-U.S. shareholders could be subject to this 30% withholding tax with respect to distributions on their shares. Under certain circumstances, the Non-U.S. shareholder might be eligible for refunds or credits of such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persons should consult their own tax advisers with respect to the U.S. federal income tax and withholding tax, and state, local and non-U.S. tax consequences of an investment in the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7966x1_n14_118-proposals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1" w:name="tLP1"/>
      <w:bookmarkEnd w:id="161"/>
      <w:r>
        <w:rPr>
          <w:rFonts w:ascii="Times New Roman;Times;serif" w:hAnsi="Times New Roman;Times;serif"/>
          <w:b/>
          <w:color w:val="000000"/>
          <w:sz w:val="20"/>
        </w:rPr>
        <w:t>LIEN PROPOSAL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MERGER STOCK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LIEN is asking its shareholders to approve the issuance of the shares of LIEN Common Stock to be issued pursuant to the Merger Agreement. It is a condition to completion of the Merger that LIEN issue shares of LIEN Common Stock to REFI Shareholders pursuant to the Merger Agreement. Upon completion of the Merger, and subject to the terms and conditions of the Merger Agreement, each share of REFI Common Stock issued and outstanding immediately prior to the Merger Effective Time will be converted into the right to receive, in accordance with the Merger Agreement, a number of shares of LIEN Common Stock equal to the Exchange Ratio, which is described in “</w:t>
      </w:r>
      <w:r>
        <w:rPr>
          <w:rFonts w:ascii="Times New Roman;Times;serif" w:hAnsi="Times New Roman;Times;serif"/>
          <w:i/>
          <w:color w:val="000000"/>
          <w:sz w:val="20"/>
        </w:rPr>
        <w:t>Description of the Merger Agreement — Merger Consideration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shares of LIEN Common Stock to REFI Shareholders is necessary to complete the Merger and therefore the approval of the Merger Stock Issuance Proposal is required for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and the LIEN Charter, LIEN Shareholders will not be entitled to rights of appraisal with respect to the Merger Stock Issuance Proposal. Accordingly, to the extent that a LIEN Shareholder objects to the Merger Stock Issuance Proposal, such LIEN Shareholder will not have the right to have a court judicially determine (and the LIEN Shareholder will not receive) the fair value for its shares of LIEN Common Stock under the provisions of the MGCL governing appraisal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vote “FOR” or “AGAINST,” or they may “ABSTAIN” from voting on, the Merger Stock Issuance Proposal. The affirmative vote “FOR” the Merger Stock Issuance Proposal of the holders of a majority of the votes cast by the holders of outstanding shares of LIEN Common Stock at the LIEN Special Meeting in person or by proxy at a meeting at which a quorum is present is required for approval of the Merger Stock Issuance Proposal. The Merger Stock Issuance Proposal is a non-routine matter, so no broker non-votes are expected. Abstentions will have no effect on the outcome of this proposal. Proxies received will be voted “FOR” the approval of the Merger Stock Issuance Proposal unless LIEN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LIEN Special Committee, the LIEN Board unanimously recommends that you vote “FOR” the Merger Stock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7966x1_n14_118-proposals_pg2"/>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3" w:name="tLP2"/>
      <w:bookmarkEnd w:id="163"/>
      <w:r>
        <w:rPr>
          <w:rFonts w:ascii="Times New Roman;Times;serif" w:hAnsi="Times New Roman;Times;serif"/>
          <w:b/>
          <w:color w:val="000000"/>
          <w:sz w:val="20"/>
        </w:rPr>
        <w:t xml:space="preserve">LIEN PROPOSAL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LIEN is asking its shareholders to adopt the Merger Agreement and approve the transactions contemplated thereby, including the Merger. Upon completion of the Merger, and subject to the terms and conditions of the Merger Agreement, each share of REFI Common Stock issued and outstanding immediately prior to the Merger Effective Time will be converted into the right to receive, in accordance with the Merger Agreement, the number of shares of LIEN Common Stock equal to the Exchange Ratio, which is described in “</w:t>
      </w:r>
      <w:r>
        <w:rPr>
          <w:rFonts w:ascii="Times New Roman;Times;serif" w:hAnsi="Times New Roman;Times;serif"/>
          <w:i/>
          <w:color w:val="000000"/>
          <w:sz w:val="20"/>
        </w:rPr>
        <w:t>Description of the Merger Agreement — Merger Consideration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Agreement, including the Merger and related transactions, is required for the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and the LIEN Charter, LIEN Shareholders will not be entitled to rights of appraisal with respect to the Merger Agreement. Accordingly, to the extent that a LIEN Shareholder objects to the Merger Agreement, such LIEN Shareholder will not have the right to have a court judicially determine (and the LIEN Shareholder will not receive) the fair value for its shares of LIEN Common Stock under the provisions of the MGCL governing appraisal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Shareholders may vote “FOR” or “AGAINST,” or they may “ABSTAIN” from voting on, the Merger Agreement, including the Merger and related transactions. The affirmative vote “FOR” the Merger Agreement, including the Merger and related transactions, of the holders of (A) at least a majority of the outstanding shares of LIEN Common Stock entitled to be cast at the LIEN Special Meeting in person or by proxy at a meeting at which a quorum is present and (B) at least a majority of the shares of LIEN Common Stock voted at the LIEN Special Meeting that do not constitute shares of LIEN Common Stock held by LIEN, LIEN Adviser, REFI, REFI Manager, any director or executive officer of any of the foregoing, any shareholder that has executed a Support Agreement or any of their respective Affiliates is required for approval of the Merger Agreement, including the Merger and related transactions. The Merger Agreement, including the Merger and related transactions, is a non-routine matter, so no broker non-votes are expected. Abstentions will have the effect of a vote “against” this proposal insofar as approval requires the affirmative vote of at least a majority of the outstanding shares of LIEN Common Stock entitled to be cast at the LIEN Special Meeting. However, abstentions will not be counted as votes cast for purposes of the separate majority-of-the-minority-shares-voted requirement and, as a result, will have no effect on such voting requirement. Proxies received will be voted “FOR” the approval of the Merger Agreement, including the Merger and related transactions, unless LIEN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LIEN Special Committee, the LIEN Board unanimously recommends that you vote “FOR” the Merger Agreement, including the Merger and related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7966x1_n14_118-proposals_pg3"/>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5" w:name="tLP3"/>
      <w:bookmarkEnd w:id="165"/>
      <w:r>
        <w:rPr>
          <w:rFonts w:ascii="Times New Roman;Times;serif" w:hAnsi="Times New Roman;Times;serif"/>
          <w:b/>
          <w:color w:val="000000"/>
          <w:sz w:val="20"/>
        </w:rPr>
        <w:t xml:space="preserve">LIEN PROPOSAL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LIEN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asking its shareholders to approve the LIEN Adjournment Proposal, which permits the LIEN Special Meeting to be adjourned, from time to time, if necessary or appropriate to solicit additional proxies if there are insufficient votes at the time of the LIEN Special Meeting to approve the Merger Stock Issuance Proposal or the Merger Agreement, including the Merger and related transactions, or in the absence of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Adjournment of the LIEN Special Meeting will be exercised only if, at the time of the LIEN Special Meeting, there are insufficient votes to approve the Merger Stock Issuance Proposal or the Merger Agreement, including the Merger and related transactions, or a quorum is not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LIEN Adjournment Proposal requires the affirmative vote of a majority of the votes cast on the proposal at the LIEN Special Meeting. Abstentions and broker non-votes will have no effect on the outcome of the LIEN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LIEN Special Committee, the LIEN Board unanimously recommends that you vote “FOR” the LIEN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7966x1_n14_119-proposal01_pg1"/>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7" w:name="tRP1"/>
      <w:bookmarkEnd w:id="167"/>
      <w:r>
        <w:rPr>
          <w:rFonts w:ascii="Times New Roman;Times;serif" w:hAnsi="Times New Roman;Times;serif"/>
          <w:b/>
          <w:color w:val="000000"/>
          <w:sz w:val="20"/>
        </w:rPr>
        <w:t xml:space="preserve">REFI PROPOSAL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BDC ELECTION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 is asking its shareholders to approve the BDC Election Proposal. Approval of the BDC Election Proposal is required for the completion of the Merger. The Merger Agreement conditions the completion of the Merger on, among other things, REFI having elected to be regulated as a BDC and having received the Post-BDC Election Approvals under Rule 17a-8 of the 1940 Act. See “</w:t>
      </w:r>
      <w:r>
        <w:rPr>
          <w:rFonts w:ascii="Times New Roman;Times;serif" w:hAnsi="Times New Roman;Times;serif"/>
          <w:i/>
          <w:color w:val="000000"/>
          <w:sz w:val="20"/>
        </w:rPr>
        <w:t>The Merger Agreement — Conditions to Closing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BDC Election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set forth under the terms of the Merger Agreement, in order for the Merger to be permitted under the 1940 Act, it is first necessary for REFI to elect to be regulated as a BDC. Section 57(a) of the 1940 Act generally prohibits a BDC, such as LIEN, from engaging in certain transactions, including merger transactions, with specified affiliated persons. These transactions are generally prohibited unless the parties obtain a prior exemptive order from the SEC or the transaction meets the criteria of Rule 17a-8 of the 1940 Act. Rule 17a-8 under the 1940 Act provides an exemption from the Section 57(a) prohibition and permits certain mergers, consolidations, and purchase/sale transactions between affiliated BDCs without requiring an SEC exemptive order, provided specific conditions are met. LIEN is already regulated as a BDC under the 1940 Act, and Rule 17a-8 under the 1940 Act requires both parties to the Merger to be regulated BDCs at the time of the Merger. Because REFI is currently a REIT and not a BDC, REFI is asking that the REFI Shareholders approve the BDC Election so that REFI and LIEN can consummate the Merger within the parameters of Rule 17a-8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approval of the BDC Election Proposal by REFI Shareholders, REFI will file a Form N-54A with the SEC to elect to be regulated as a BDC under the 1940 Act. From and after the BDC Election Time, REFI will be subject to the regulatory framework of the 1940 Act applicable to BDCs. Following the BDC Election, REFI is expected to operate as a stand-alone BDC only for the brief period between the BDC Election Time and the Merger Effective Time, during which period the REFI Board will consider the Post-BDC Election Approvals. Following approval of the BDC Election Proposal by REFI Shareholders, REFI will file a Form N-54A with the SEC to elect to be regulated as a BDC under the 1940 Act. From and after the BDC Election Time, REFI will be subject to the regulatory framework of the 1940 Act applicable to BDCs, which differs materially from the framework applicable to REFI as a REIT for U.S. federal income tax purposes. See “</w:t>
      </w:r>
      <w:r>
        <w:rPr>
          <w:rFonts w:ascii="Times New Roman;Times;serif" w:hAnsi="Times New Roman;Times;serif"/>
          <w:i/>
          <w:color w:val="000000"/>
          <w:sz w:val="20"/>
        </w:rPr>
        <w:t>Risk Factors — Risks Relating to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“FOR” or “AGAINST,” or they may “ABSTAIN” from voting on, the BDC Election Proposal. The affirmative vote of the lesser of (A) 67% of the shares of REFI Common Stock present at the REFI Special Meeting if the holders of more than 50% of the outstanding shares of REFI Common Stock are present or represented by proxy, or (B) more than 50% of the outstanding shares of REFI Common Stock, is required for approval of the BDC Election Proposal. The BDC Election Proposal constitutes a non-routine matter, so no broker non-votes are expected. Abstentions will have the effect of a vote “AGAINST” this proposal. Proxies received will be voted “FOR” the approval of the BDC Election Proposal unless REFI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BDC Election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7966x1_n14_119-proposal01_pg2"/>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9" w:name="tRP2"/>
      <w:bookmarkEnd w:id="169"/>
      <w:r>
        <w:rPr>
          <w:rFonts w:ascii="Times New Roman;Times;serif" w:hAnsi="Times New Roman;Times;serif"/>
          <w:b/>
          <w:color w:val="000000"/>
          <w:sz w:val="20"/>
        </w:rPr>
        <w:t xml:space="preserve">REFI PROPOSAL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NEW BDC ADVISORY AGREEMENT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 is asking its shareholders to approve the New BDC Advisory Agreement Proposal. Approval of the New BDC Advisory Agreement Proposal is required to satisfy Section 15 of the 1940 Act and for the completion of the Merger. The Merger Agreement conditions the completion of the Merger on, among other things, REFI Shareholder approval of the New BDC Advisory Agreement. See “</w:t>
      </w:r>
      <w:r>
        <w:rPr>
          <w:rFonts w:ascii="Times New Roman;Times;serif" w:hAnsi="Times New Roman;Times;serif"/>
          <w:i/>
          <w:color w:val="000000"/>
          <w:sz w:val="20"/>
        </w:rPr>
        <w:t>The Merger Agreement — Conditions to Closing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New BDC Advisory Agreement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15 of the 1940 Act requires an investment adviser to a registered investment company (including a BDC) to be party to a written investment advisory agreement that has been approved by the shareholders of such investment company. As a result, from and after the BDC Election Time, REFI is required to have a 1940 Act compliant investment advisory agreement in place. Under the Merger Agreement, REFI has agreed to enter into the New BDC Advisory Agreement with LIEN Adviser, subject to approval by REFI Shareholders. The New BDC Advisory Agreement will be in effect only for the brief period between the BDC Election Time and the Merger Effective Time. Immediately after the Merger Effective Time, the New BDC Advisory Agreement will terminate automatically, and the combined company will be advised by LIEN Adviser pursuant to the existing LIEN Investment Advisory Agreement. The material terms of the New BDC Advisory Agreement, including the fee structure and the factors considered by the REFI Special Committee and the REFI Board under Section 15(c) of the 1940 Act, are described under “Description of the New BDC Advisory Agreement.” The material differences between the fee structures under the REFI Management Agreement and the LIEN Investment Advisory Agreement are described under “</w:t>
      </w:r>
      <w:r>
        <w:rPr>
          <w:rFonts w:ascii="Times New Roman;Times;serif" w:hAnsi="Times New Roman;Times;serif"/>
          <w:i/>
          <w:color w:val="000000"/>
          <w:sz w:val="20"/>
        </w:rPr>
        <w:t>Comparative Fees and Expenses</w:t>
      </w:r>
      <w:r>
        <w:rPr>
          <w:rFonts w:ascii="Times New Roman;Times;serif" w:hAnsi="Times New Roman;Times;serif"/>
          <w:color w:val="000000"/>
          <w:sz w:val="20"/>
        </w:rPr>
        <w:t xml:space="preserve">.” A copy of the form of the New BDC Advisory Agreement is attached to this joint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See also “</w:t>
      </w:r>
      <w:r>
        <w:rPr>
          <w:rFonts w:ascii="Times New Roman;Times;serif" w:hAnsi="Times New Roman;Times;serif"/>
          <w:i/>
          <w:color w:val="000000"/>
          <w:sz w:val="20"/>
        </w:rPr>
        <w:t>Risk Factors — Risks Relating to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“FOR” or “AGAINST,” or they may “ABSTAIN” from voting on, the New BDC Advisory Agreement Proposal. The affirmative vote of the lesser of (A) 67% of the shares of REFI Common Stock present at the REFI Special Meeting if the holders of more than 50% of the outstanding shares of REFI Common Stock are present or represented by proxy, or (B) more than 50% of the outstanding shares of REFI Common Stock, is required for approval of the New BDC Advisory Agreement Proposal. This vote standard is required by Section 15(a) of the 1940 Act. The New BDC Advisory Agreement Proposal constitutes a non-routine matter, so no broker non-votes are expected. Abstentions will have the effect of a vote “AGAINST” this proposal. Proxies received will be voted “FOR” the approval of the New BDC Advisory Agreement Proposal unless REFI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New BDC Advisory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7966x1_n14_119-proposal01_pg3"/>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1" w:name="tRP3"/>
      <w:bookmarkEnd w:id="171"/>
      <w:r>
        <w:rPr>
          <w:rFonts w:ascii="Times New Roman;Times;serif" w:hAnsi="Times New Roman;Times;serif"/>
          <w:b/>
          <w:color w:val="000000"/>
          <w:sz w:val="20"/>
        </w:rPr>
        <w:t xml:space="preserve">REFI PROPOSAL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is asking its Shareholders to approve the Merger Proposal, pursuant to which REFI will merge with and into LIEN, with LIEN as the surviving company. Approval of the Merger Proposal is required for the completion of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the terms and subject to the conditions of the Merger Agreement, at the Merger Effective Time, REFI will merge with and into LIEN, the separate corporate existence of REFI will cease, and LIEN will be the surviving company in the Merger. At the Merger Effective Time, each share of REFI Common Stock issued and outstanding immediately prior to the Merger Effective Time (other than Cancelled Shares) will be converted into the right to receive the Merger Consideration, consisting of a number of shares of LIEN Common Stock equal to the Exchange Ratio, plus cash in lieu of any fractional shares. The Merger Proposal will be voted on at the reconvened session of the REFI Special Meeting following the Sequencing Adjournment, at which point REFI will have elected to be regulated as a BDC and the REFI Board will have adopted the Post-BDC Election Approvals. See “</w:t>
      </w:r>
      <w:r>
        <w:rPr>
          <w:rFonts w:ascii="Times New Roman;Times;serif" w:hAnsi="Times New Roman;Times;serif"/>
          <w:i/>
          <w:color w:val="000000"/>
          <w:sz w:val="20"/>
        </w:rPr>
        <w:t>The Merger — Sequence of Events at and Following the Special Meeting</w:t>
      </w:r>
      <w:r>
        <w:rPr>
          <w:rFonts w:ascii="Times New Roman;Times;serif" w:hAnsi="Times New Roman;Times;serif"/>
          <w:color w:val="000000"/>
          <w:sz w:val="20"/>
        </w:rPr>
        <w:t>,” “</w:t>
      </w:r>
      <w:r>
        <w:rPr>
          <w:rFonts w:ascii="Times New Roman;Times;serif" w:hAnsi="Times New Roman;Times;serif"/>
          <w:i/>
          <w:color w:val="000000"/>
          <w:sz w:val="20"/>
        </w:rPr>
        <w:t>Description of the Merger Agreement — Merger Consideration</w:t>
      </w:r>
      <w:r>
        <w:rPr>
          <w:rFonts w:ascii="Times New Roman;Times;serif" w:hAnsi="Times New Roman;Times;serif"/>
          <w:color w:val="000000"/>
          <w:sz w:val="20"/>
        </w:rPr>
        <w:t>,” and “</w:t>
      </w:r>
      <w:r>
        <w:rPr>
          <w:rFonts w:ascii="Times New Roman;Times;serif" w:hAnsi="Times New Roman;Times;serif"/>
          <w:i/>
          <w:color w:val="000000"/>
          <w:sz w:val="20"/>
        </w:rPr>
        <w:t>Description of the Merger Agreement — Conditions to Closing the Merger</w:t>
      </w:r>
      <w:r>
        <w:rPr>
          <w:rFonts w:ascii="Times New Roman;Times;serif" w:hAnsi="Times New Roman;Times;serif"/>
          <w:color w:val="000000"/>
          <w:sz w:val="20"/>
        </w:rPr>
        <w:t xml:space="preserve">.” A copy of the Merger Agreement is attached to this joint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and the REFI Charter, REFI Shareholders will not be entitled to rights of appraisal with respect to the Merger Proposal. Accordingly, to the extent that a REFI Shareholder objects to the Merger Proposal, such REFI Shareholder will not have the right to have a court judicially determine (and the REFI Shareholder will not receive) the fair value for its shares of REFI Common Stock under the provisions of the MGCL governing appraisal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may vote “FOR” or “AGAINST,” or they may “ABSTAIN” from voting on, the Merger Proposal. The affirmative vote of the holders of (A) at least a majority of the outstanding shares of REFI Common Stock and (B) at least a majority of the shares of REFI Common Stock voted at the REFI Special Meeting held by REFI Unaffiliated Shareholders, is required for approval of the Merger Proposal. The Merger Proposal constitutes a non-routine matter, so no broker non-votes are expected. Abstentions will have the effect of a vote “AGAINST” this proposal insofar as approval requires the affirmative vote of at least a majority of the outstanding shares of REFI Common Stock entitled to be cast at the REFI Special Meeting. However, abstentions will not be counted as votes cast for purposes of the separate majority-of-the-minority-shares-voted requirement and, as a result, will have no effect on such voting requirement. Proxies received will be voted “FOR” the approval of the Merger Proposal unless REFI Shareholders designate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Merger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7966x1_n14_119-proposal01_pg4"/>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3" w:name="tRP4"/>
      <w:bookmarkEnd w:id="173"/>
      <w:r>
        <w:rPr>
          <w:rFonts w:ascii="Times New Roman;Times;serif" w:hAnsi="Times New Roman;Times;serif"/>
          <w:b/>
          <w:color w:val="000000"/>
          <w:sz w:val="20"/>
        </w:rPr>
        <w:t xml:space="preserve">REFI PROPOSAL IV: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REFI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is asking its shareholders to approve the REFI Adjournment Proposal, which permits the REFI Special Meeting to be adjourned, from time to time, if necessary or appropriate, for the following purposes: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permit the filing of the BDC Election with the SEC, the occurrence of the BDC Election Time, and the REFI Board’s consideration and adoption of the Post-BDC Election Approvals, in each case prior to the vote by REFI Shareholders on the Merger Proposal (the “Sequencing Adjournment”); and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solicit additional proxies if there are insufficient votes at the time of the REFI Special Meeting to approve the BDC Election Proposal, the New BDC Advisory Agreement Proposal or the Merger Proposal, or in the absence of a quorum (the “Solicitation Adjournment”).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Sequencing 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Sequencing Adjournment is a planned step in the REFI Special Meeting rather than a contingent one. Because the Merger Agreement requires that (i) the BDC Election Time occur and (ii) the Post-BDC Election Approvals be obtained from the REFI Board prior to the completion of the Merger, and because REFI intends for the vote on the Merger Proposal to occur following its election to be regulated as a BDC, the REFI Special Meeting will be adjourned following the vote on the BDC Election Proposal and the New BDC Advisory Agreement Proposal to allow those steps to occur. REFI expects the Sequencing Adjournment to last only a short period of time, during which (i) REFI will file the BDC Election with the SEC and, upon acceptance of such filing, the BDC Election Time will occur, and (ii) the REFI Board (acting upon the recommendation of the REFI Special Committee) will consider and adopt the Post-BDC Election Approvals. The REFI Special Meeting will thereafter be reconvened, which is expected to occur on the same day, and REFI Shareholders will vote on the Merger Proposal at the reconvened session. The specific time of the reconvened session will be announced at the initial session of the REFI Special Meeting. No separate notice of the reconvened session will be required.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Solicitation Adjournment is a contingent step. It will be exercised only if, at the time of the applicable session of the REFI Special Meeting, there are insufficient votes to approve the BDC Election Proposal, the New BDC Advisory Agreement Proposal or the Merger Proposal, or a quorum is not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REFI Adjournment Proposal requires the affirmative vote of a majority of the votes cast on the proposal at the REFI Special Meeting. Abstentions and broker non-votes will have no effect on the outcome of the REFI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On the recommendation of the REFI Special Committee, the REFI Board unanimously recommends that you vote “FOR” the REFI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7966x1_n14_120-market_pg1"/>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5" w:name="tMPD"/>
      <w:bookmarkEnd w:id="175"/>
      <w:r>
        <w:rPr>
          <w:rFonts w:ascii="Times New Roman;Times;serif" w:hAnsi="Times New Roman;Times;serif"/>
          <w:b/>
          <w:color w:val="000000"/>
          <w:sz w:val="20"/>
        </w:rPr>
        <w:t xml:space="preserve">MARKET PRICE, DIVIDEND AND DISTRIBUTION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Price Range of LIEN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Common Stock trades on the NASDAQ under the symbol “LIEN.” The following table sets forth the NAV per share of LIEN Common Stock, the range of high and low closing sales prices of LIEN Common Stock reported on the NASDAQ, the closing sales price as a premium (discount) to NAV and the dividends declared by LIEN in each fiscal quarter since LIEN began trading on the NASDAQ. On [ ], 2026, the last reported closing sales price of LIEN Common Stock on the NASDAQ was $[ ] per share, which represented a discount of approximately [ ]% to the NAV per share reported by LIEN as of [ ], 2026. </w:t>
      </w:r>
    </w:p>
    <w:tbl>
      <w:tblPr>
        <w:tblW w:w="10010" w:type="dxa"/>
        <w:jc w:val="left"/>
        <w:tblInd w:w="0" w:type="dxa"/>
        <w:tblLayout w:type="fixed"/>
        <w:tblCellMar>
          <w:top w:w="0" w:type="dxa"/>
          <w:left w:w="0" w:type="dxa"/>
          <w:bottom w:w="0" w:type="dxa"/>
          <w:right w:w="0" w:type="dxa"/>
        </w:tblCellMar>
      </w:tblPr>
      <w:tblGrid>
        <w:gridCol w:w="2930"/>
        <w:gridCol w:w="140"/>
        <w:gridCol w:w="140"/>
        <w:gridCol w:w="590"/>
        <w:gridCol w:w="140"/>
        <w:gridCol w:w="140"/>
        <w:gridCol w:w="635"/>
        <w:gridCol w:w="140"/>
        <w:gridCol w:w="140"/>
        <w:gridCol w:w="590"/>
        <w:gridCol w:w="140"/>
        <w:gridCol w:w="140"/>
        <w:gridCol w:w="1250"/>
        <w:gridCol w:w="140"/>
        <w:gridCol w:w="140"/>
        <w:gridCol w:w="1205"/>
        <w:gridCol w:w="140"/>
        <w:gridCol w:w="140"/>
        <w:gridCol w:w="113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2930"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Period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90" w:type="dxa"/>
            <w:vMerge w:val="restart"/>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NAV(1)</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Range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5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NAV(2)</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NAV(2)</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Dividend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Share(3) </w:t>
            </w:r>
          </w:p>
        </w:tc>
      </w:tr>
      <w:tr>
        <w:trPr/>
        <w:tc>
          <w:tcPr>
            <w:tcW w:w="29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59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25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0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 (Through XX,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$ 10.46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9.01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$0.34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$0.34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$0.34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$0.25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$0.25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$0.70(6)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-45.6%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$0.63(6)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-45.8%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-42.3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293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-21.8%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-34.5%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-42.8%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NAV per share is determined as of the last day in the relevant quarter and therefore may not reflect the NAV per share on the date of the high and low closing sales prices. The NAVs shown are based on outstanding shares at the end of the relevant quarter. </w:t>
            </w:r>
          </w:p>
        </w:tc>
      </w:tr>
    </w:tbl>
    <w:tbl>
      <w:tblPr>
        <w:tblW w:w="10015" w:type="dxa"/>
        <w:jc w:val="left"/>
        <w:tblInd w:w="0" w:type="dxa"/>
        <w:tblLayout w:type="fixed"/>
        <w:tblCellMar>
          <w:top w:w="0" w:type="dxa"/>
          <w:left w:w="0" w:type="dxa"/>
          <w:bottom w:w="0" w:type="dxa"/>
          <w:right w:w="0" w:type="dxa"/>
        </w:tblCellMar>
      </w:tblPr>
      <w:tblGrid>
        <w:gridCol w:w="230"/>
        <w:gridCol w:w="97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Calculated as the respective high or low closing sales price less NAV, divided by NAV (in each case, as of the end of the applicable quarter). </w:t>
            </w:r>
          </w:p>
        </w:tc>
      </w:tr>
    </w:tbl>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dividend or distribution declared in the relevant quarter. </w:t>
            </w:r>
          </w:p>
        </w:tc>
      </w:tr>
    </w:tbl>
    <w:tbl>
      <w:tblPr>
        <w:tblW w:w="8530" w:type="dxa"/>
        <w:jc w:val="left"/>
        <w:tblInd w:w="0" w:type="dxa"/>
        <w:tblLayout w:type="fixed"/>
        <w:tblCellMar>
          <w:top w:w="0" w:type="dxa"/>
          <w:left w:w="0" w:type="dxa"/>
          <w:bottom w:w="0" w:type="dxa"/>
          <w:right w:w="0" w:type="dxa"/>
        </w:tblCellMar>
      </w:tblPr>
      <w:tblGrid>
        <w:gridCol w:w="230"/>
        <w:gridCol w:w="83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November 8, 2022, the LIEN Board approved a change to LIEN’s fiscal year end from March 31 to December 31.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Shares of LIEN Common Stock began trading on NASDAQ on February 4, 2022. Since October 2, 2024, the LIEN Common Stock trades on NASDAQ under the symbol “LIEN.” </w:t>
            </w:r>
          </w:p>
        </w:tc>
      </w:tr>
    </w:tbl>
    <w:tbl>
      <w:tblPr>
        <w:tblW w:w="4675" w:type="dxa"/>
        <w:jc w:val="left"/>
        <w:tblInd w:w="0" w:type="dxa"/>
        <w:tblLayout w:type="fixed"/>
        <w:tblCellMar>
          <w:top w:w="0" w:type="dxa"/>
          <w:left w:w="0" w:type="dxa"/>
          <w:bottom w:w="0" w:type="dxa"/>
          <w:right w:w="0" w:type="dxa"/>
        </w:tblCellMar>
      </w:tblPr>
      <w:tblGrid>
        <w:gridCol w:w="230"/>
        <w:gridCol w:w="44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4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a regular quarterly dividend and a special dividend. </w:t>
            </w:r>
          </w:p>
        </w:tc>
      </w:tr>
    </w:tbl>
    <w:tbl>
      <w:tblPr>
        <w:tblW w:w="3520" w:type="dxa"/>
        <w:jc w:val="left"/>
        <w:tblInd w:w="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NAV has not yet been calculated for this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77966x1_n14_120-market_pg2"/>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Price Range of REFI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Common Stock trades on the NASDAQ under the symbol “REFI.” The following table sets forth the NAV per share of REFI Common Stock, the range of high and low closing sales prices of REFI Common Stock reported on the NASDAQ, the closing sales price as a premium (discount) to NAV and the dividends declared by REFI in each fiscal quarter since REFI began trading on the NASDAQ. On [ ], 2026, the last reported closing sales price of REFI Common Stock on the NASDAQ was $[ ] per share, which represented a discount of approximately [ ]% to the NAV per share reported by REFI as of [ ], 2026. </w:t>
      </w:r>
    </w:p>
    <w:tbl>
      <w:tblPr>
        <w:tblW w:w="10205" w:type="dxa"/>
        <w:jc w:val="left"/>
        <w:tblInd w:w="0" w:type="dxa"/>
        <w:tblLayout w:type="fixed"/>
        <w:tblCellMar>
          <w:top w:w="0" w:type="dxa"/>
          <w:left w:w="0" w:type="dxa"/>
          <w:bottom w:w="0" w:type="dxa"/>
          <w:right w:w="0" w:type="dxa"/>
        </w:tblCellMar>
      </w:tblPr>
      <w:tblGrid>
        <w:gridCol w:w="2825"/>
        <w:gridCol w:w="140"/>
        <w:gridCol w:w="140"/>
        <w:gridCol w:w="935"/>
        <w:gridCol w:w="140"/>
        <w:gridCol w:w="140"/>
        <w:gridCol w:w="590"/>
        <w:gridCol w:w="140"/>
        <w:gridCol w:w="140"/>
        <w:gridCol w:w="590"/>
        <w:gridCol w:w="140"/>
        <w:gridCol w:w="140"/>
        <w:gridCol w:w="1250"/>
        <w:gridCol w:w="140"/>
        <w:gridCol w:w="140"/>
        <w:gridCol w:w="1205"/>
        <w:gridCol w:w="140"/>
        <w:gridCol w:w="140"/>
        <w:gridCol w:w="1130"/>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2825"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Period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3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Book Value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Share(1)</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Range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5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NAV(2)</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Sales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NAV</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Dividend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Share(3) </w:t>
            </w:r>
          </w:p>
        </w:tc>
      </w:tr>
      <w:tr>
        <w:trPr/>
        <w:tc>
          <w:tcPr>
            <w:tcW w:w="282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3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25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0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 (Through XX,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$0.65(5)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$0.76(5)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$0.47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$14.86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lineRule="auto" w:line="240"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$0.76(5)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$0.47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$0.40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Year Ended December 31, 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28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7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$0.26</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 per share is determined as of the last day in the relevant quarter and therefore may not reflect the book value per share on the date of the high and low closing sales prices. The book values shown are based on outstanding shares at the end of the relevant quarter.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Calculated as the respective high or low closing sales price less book value, divided by book value (in each case, as of the end of the applicable quarter). </w:t>
            </w:r>
          </w:p>
        </w:tc>
      </w:tr>
    </w:tbl>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dividend or distribution declared in the relevant quarter. </w:t>
            </w:r>
          </w:p>
        </w:tc>
      </w:tr>
    </w:tbl>
    <w:tbl>
      <w:tblPr>
        <w:tblW w:w="7855" w:type="dxa"/>
        <w:jc w:val="left"/>
        <w:tblInd w:w="0" w:type="dxa"/>
        <w:tblLayout w:type="fixed"/>
        <w:tblCellMar>
          <w:top w:w="0" w:type="dxa"/>
          <w:left w:w="0" w:type="dxa"/>
          <w:bottom w:w="0" w:type="dxa"/>
          <w:right w:w="0" w:type="dxa"/>
        </w:tblCellMar>
      </w:tblPr>
      <w:tblGrid>
        <w:gridCol w:w="230"/>
        <w:gridCol w:w="76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Shares of REFI Common Stock began trading on NASDAQ on December 8, 2021 under the symbol “REFI.” </w:t>
            </w:r>
          </w:p>
        </w:tc>
      </w:tr>
    </w:tbl>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a quarterly dividend and a special dividend.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8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Book value has not yet been calculated for this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7966x1_n14_121-bus_pg1"/>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8" w:name="tBUS"/>
      <w:bookmarkEnd w:id="178"/>
      <w:r>
        <w:rPr>
          <w:rFonts w:ascii="Times New Roman;Times;serif" w:hAnsi="Times New Roman;Times;serif"/>
          <w:b/>
          <w:color w:val="000000"/>
          <w:sz w:val="20"/>
        </w:rPr>
        <w:t xml:space="preserve">BUSINESS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in Part I of LIEN’s Annual Report on </w:t>
      </w:r>
      <w:hyperlink r:id="rId7">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7966x1_n14_121-bus_pg2"/>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0" w:name="tFIN"/>
      <w:bookmarkEnd w:id="180"/>
      <w:r>
        <w:rPr>
          <w:rFonts w:ascii="Times New Roman;Times;serif" w:hAnsi="Times New Roman;Times;serif"/>
          <w:b/>
          <w:color w:val="000000"/>
          <w:sz w:val="20"/>
        </w:rPr>
        <w:t xml:space="preserve">FINANCIAL HIGHLIGHTS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8. Financial Statements and Supplementary Data — Note 12. Financial Highlights” in Part II of LIEN’s Annual Report on </w:t>
      </w:r>
      <w:hyperlink r:id="rId8">
        <w:r>
          <w:rPr>
            <w:rStyle w:val="InternetLink"/>
          </w:rPr>
          <w:t>Form 10-K</w:t>
        </w:r>
      </w:hyperlink>
      <w:r>
        <w:rPr>
          <w:rFonts w:ascii="Times New Roman;Times;serif" w:hAnsi="Times New Roman;Times;serif"/>
          <w:i/>
          <w:color w:val="000000"/>
          <w:sz w:val="20"/>
        </w:rPr>
        <w:t xml:space="preserve"> for the fiscal year ended December 31, 2025 and “Item 1. Financial Statements — Note 12. Financial Highlights” in Part I of LIEN’s Quarterly Report on </w:t>
      </w:r>
      <w:hyperlink r:id="rId9">
        <w:r>
          <w:rPr>
            <w:rStyle w:val="InternetLink"/>
          </w:rPr>
          <w:t>Form 10-Q</w:t>
        </w:r>
      </w:hyperlink>
      <w:r>
        <w:rPr>
          <w:rFonts w:ascii="Times New Roman;Times;serif" w:hAnsi="Times New Roman;Times;serif"/>
          <w:i/>
          <w:color w:val="000000"/>
          <w:sz w:val="20"/>
        </w:rPr>
        <w:t xml:space="preserve"> for the quarter ended March 31,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7966x1_n14_122-mda_pg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2" w:name="tMDA"/>
      <w:bookmarkEnd w:id="182"/>
      <w:r>
        <w:rPr>
          <w:rFonts w:ascii="Times New Roman;Times;serif" w:hAnsi="Times New Roman;Times;serif"/>
          <w:b/>
          <w:color w:val="000000"/>
          <w:sz w:val="20"/>
        </w:rPr>
        <w:t xml:space="preserve">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7. Management’s Discussion and Analysis of Financial Condition and Results of Operations” in Part II of LIEN’s Annual Report on </w:t>
      </w:r>
      <w:hyperlink r:id="rId10">
        <w:r>
          <w:rPr>
            <w:rStyle w:val="InternetLink"/>
          </w:rPr>
          <w:t>Form 10-K</w:t>
        </w:r>
      </w:hyperlink>
      <w:r>
        <w:rPr>
          <w:rFonts w:ascii="Times New Roman;Times;serif" w:hAnsi="Times New Roman;Times;serif"/>
          <w:i/>
          <w:color w:val="000000"/>
          <w:sz w:val="20"/>
        </w:rPr>
        <w:t xml:space="preserve"> for the fiscal year ended December 31, 2025 and “Item 2. Management’s Discussion and Analysis of Financial Condition and Results of Operations” in Part I of LIEN’s Quarterly Report on </w:t>
      </w:r>
      <w:hyperlink r:id="rId11">
        <w:r>
          <w:rPr>
            <w:rStyle w:val="InternetLink"/>
          </w:rPr>
          <w:t>Form 10-Q</w:t>
        </w:r>
      </w:hyperlink>
      <w:r>
        <w:rPr>
          <w:rFonts w:ascii="Times New Roman;Times;serif" w:hAnsi="Times New Roman;Times;serif"/>
          <w:i/>
          <w:color w:val="000000"/>
          <w:sz w:val="20"/>
        </w:rPr>
        <w:t xml:space="preserve"> for the quarter ended March 31,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7966x1_n14_123-securities_pg1"/>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4" w:name="tSSL"/>
      <w:bookmarkEnd w:id="184"/>
      <w:r>
        <w:rPr>
          <w:rFonts w:ascii="Times New Roman;Times;serif" w:hAnsi="Times New Roman;Times;serif"/>
          <w:b/>
          <w:color w:val="000000"/>
          <w:sz w:val="20"/>
        </w:rPr>
        <w:t xml:space="preserve">SENIOR SECURITIES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8. Financial Statements and Supplementary Data — Note 5 — Debt — Senior Securities” in Part II of LIEN’s Annual Report on </w:t>
      </w:r>
      <w:hyperlink r:id="rId12">
        <w:r>
          <w:rPr>
            <w:rStyle w:val="InternetLink"/>
          </w:rPr>
          <w:t>Form 10-K</w:t>
        </w:r>
      </w:hyperlink>
      <w:r>
        <w:rPr>
          <w:rFonts w:ascii="Times New Roman;Times;serif" w:hAnsi="Times New Roman;Times;serif"/>
          <w:i/>
          <w:color w:val="000000"/>
          <w:sz w:val="20"/>
        </w:rPr>
        <w:t xml:space="preserve"> for the fiscal year ended December 31, 2025 and “Item 1. Financial Statements - Note 5 - Debt - Senior Securities” in Part I of LIEN's Quarterly Report on </w:t>
      </w:r>
      <w:hyperlink r:id="rId13">
        <w:r>
          <w:rPr>
            <w:rStyle w:val="InternetLink"/>
          </w:rPr>
          <w:t>Form 10-Q</w:t>
        </w:r>
      </w:hyperlink>
      <w:r>
        <w:rPr>
          <w:rFonts w:ascii="Times New Roman;Times;serif" w:hAnsi="Times New Roman;Times;serif"/>
          <w:i/>
          <w:color w:val="000000"/>
          <w:sz w:val="20"/>
        </w:rPr>
        <w:t xml:space="preserve"> for the quarter ended March 31, 2026 is incorporated herein by reference.</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You should read the information about LIEN’s senior securities in conjunction with LIEN’s consolidated financial statements and related notes incorporated by reference herein and “Management's Discussion and Analysis of Financial Condition and Results of Operations of LIEN” above.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7966x1_n14_124-portfolio_pg1"/>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186" w:name="tPCL"/>
      <w:bookmarkEnd w:id="186"/>
      <w:r>
        <w:rPr>
          <w:rFonts w:ascii="Times New Roman;Times;serif" w:hAnsi="Times New Roman;Times;serif"/>
          <w:b/>
          <w:color w:val="000000"/>
          <w:sz w:val="20"/>
        </w:rPr>
        <w:t xml:space="preserve">PORTFOLIO COMPANIES OF LIEN </w:t>
      </w:r>
    </w:p>
    <w:p>
      <w:pPr>
        <w:pStyle w:val="TextBody"/>
        <w:bidi w:val="0"/>
        <w:spacing w:before="120" w:after="283"/>
        <w:ind w:left="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each of the portfolio companies in which LIEN had a debt or equity investment as of March 31, 2026. LIEN offers to make available significant managerial assistance to its portfolio companies. LIEN may receive observation or participation rights on its portfolio companies’ boards of directors. Other than these investments, LIEN’s only relationships with its portfolio companies are the managerial assistance it may separately provide or any observation or participation rights it may receive, which would be ancillary to its investments. </w:t>
      </w:r>
    </w:p>
    <w:tbl>
      <w:tblPr>
        <w:tblW w:w="10205" w:type="dxa"/>
        <w:jc w:val="left"/>
        <w:tblInd w:w="0" w:type="dxa"/>
        <w:tblLayout w:type="fixed"/>
        <w:tblCellMar>
          <w:top w:w="0" w:type="dxa"/>
          <w:left w:w="0" w:type="dxa"/>
          <w:bottom w:w="0" w:type="dxa"/>
          <w:right w:w="0" w:type="dxa"/>
        </w:tblCellMar>
      </w:tblPr>
      <w:tblGrid>
        <w:gridCol w:w="1198"/>
        <w:gridCol w:w="140"/>
        <w:gridCol w:w="140"/>
        <w:gridCol w:w="893"/>
        <w:gridCol w:w="140"/>
        <w:gridCol w:w="140"/>
        <w:gridCol w:w="982"/>
        <w:gridCol w:w="140"/>
        <w:gridCol w:w="140"/>
        <w:gridCol w:w="726"/>
        <w:gridCol w:w="140"/>
        <w:gridCol w:w="140"/>
        <w:gridCol w:w="1144"/>
        <w:gridCol w:w="140"/>
        <w:gridCol w:w="140"/>
        <w:gridCol w:w="606"/>
        <w:gridCol w:w="140"/>
        <w:gridCol w:w="140"/>
        <w:gridCol w:w="575"/>
        <w:gridCol w:w="140"/>
        <w:gridCol w:w="140"/>
        <w:gridCol w:w="434"/>
        <w:gridCol w:w="140"/>
        <w:gridCol w:w="140"/>
        <w:gridCol w:w="434"/>
        <w:gridCol w:w="140"/>
        <w:gridCol w:w="140"/>
        <w:gridCol w:w="693"/>
      </w:tblGrid>
      <w:tr>
        <w:trPr/>
        <w:tc>
          <w:tcPr>
            <w:tcW w:w="11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r>
      <w:tr>
        <w:trPr/>
        <w:tc>
          <w:tcPr>
            <w:tcW w:w="1198" w:type="dxa"/>
            <w:tcBorders>
              <w:bottom w:val="single" w:sz="8" w:space="0" w:color="000000"/>
            </w:tcBorders>
            <w:tcMar>
              <w:bottom w:w="53"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Action Target,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3411 S. Mountain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Vista Parkway</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Provo, UT 84606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(P + 2.00%; 1.50% PIK; 8.50%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7/19/2027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Aeriz Holdings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351 W. Hubbard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Street</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(P + 5.75%; 7.00%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6/30/2028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9,590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9,590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9,302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AI Software, LLC (d/b/a Capacity)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6665 Delmar Blvd.,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300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St. Louis, MO 63130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Ascend Wellness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174 NJ-17</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Rochelle Park, NJ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07662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(F; 12.75%)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7/16/2029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3,379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3,430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Aura Home,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 Cooper Square,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Floor 8</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New York, NY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10003-7120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10.34% (S + 6.50%; 3.75%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9/22/2026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Aura Home,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 Cooper Square,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Floor 8</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New York, NY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10003-7120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10.34% (S + 6.50%; 3.75%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9/22/2026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BeLeaf Medical,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1551 Wall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280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Saint Charles,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Missouri 63303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13.25% (P + 5.75%;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8/20/2028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13,471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13,471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12775 Horseferry 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9.91% (S + 6.25%; 3.25%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1/31/2031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16,212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13,786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13,786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12775 Horseferry 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1,048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CO Acquisition Vehicle,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5845 Centre Avenue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Pittsburgh, PA 15206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20.00% (F; 20.00%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16,310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16,310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17,370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Cresco Labs,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600 West Fulton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Street, Suite 800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12.50% (F; 12.50%)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8/13/2030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7,238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7,050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Dreamfields Brands, Inc. (d/b/a Jeeter)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65441 Two Bunch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Palms Trail</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Desert Hot Springs,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 92240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16.25% (P + 8.75%;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9/30/2028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31,745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31,716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31,428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Elevation Cannabis,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6120 E Connecticut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Avenue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Kansas City, MO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64120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16.25% (P + 7.75%; 8.50%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7,149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7,074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7,149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Energize Holdings, Inc. (d/b/a Exos)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2629 E. Rose Garden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Lane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Phoenix, AZ 85050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Educational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11.99% (S + 8.00%; 3.99%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10/24/2029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4,968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4,925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Energize Holdings, Inc. (d/b/a Exos)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2629 E. Rose Garden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Lane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Phoenix, AZ 85050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Educational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Engage3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9375 E. Shea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Boulevard, 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Scottsdale, AZ 85260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14.00% (P + 2.50%; 4.00% PIK;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7/22/2030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6,150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5,855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5,811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Engage3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9375 E. Shea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Boulevard, 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Scottsdale, AZ 85260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Flowery - Bill’s Nursery,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30003 SW 197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Avenue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Homestead, FL 33030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(F; 11.00%; 5.00%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13,873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13,856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13,734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5540 W. Executive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Drive, 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Tampa, FL 33609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12.00%; 1.00%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11/24/2028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8,503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8,404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8,418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12775 Horseferry 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13.00%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839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11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7966x1_n14_124-portfolio_pg2"/>
        <w:bookmarkEnd w:id="1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92"/>
        <w:gridCol w:w="140"/>
        <w:gridCol w:w="140"/>
        <w:gridCol w:w="1047"/>
        <w:gridCol w:w="140"/>
        <w:gridCol w:w="140"/>
        <w:gridCol w:w="1331"/>
        <w:gridCol w:w="140"/>
        <w:gridCol w:w="140"/>
        <w:gridCol w:w="711"/>
        <w:gridCol w:w="140"/>
        <w:gridCol w:w="140"/>
        <w:gridCol w:w="807"/>
        <w:gridCol w:w="140"/>
        <w:gridCol w:w="140"/>
        <w:gridCol w:w="578"/>
        <w:gridCol w:w="140"/>
        <w:gridCol w:w="140"/>
        <w:gridCol w:w="575"/>
        <w:gridCol w:w="140"/>
        <w:gridCol w:w="140"/>
        <w:gridCol w:w="428"/>
        <w:gridCol w:w="140"/>
        <w:gridCol w:w="140"/>
        <w:gridCol w:w="428"/>
        <w:gridCol w:w="140"/>
        <w:gridCol w:w="140"/>
        <w:gridCol w:w="688"/>
      </w:tblGrid>
      <w:tr>
        <w:trPr/>
        <w:tc>
          <w:tcPr>
            <w:tcW w:w="10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left"/>
              <w:rPr/>
            </w:pPr>
            <w:r>
              <w:rPr/>
              <w:t> </w:t>
            </w:r>
          </w:p>
        </w:tc>
      </w:tr>
      <w:tr>
        <w:trPr/>
        <w:tc>
          <w:tcPr>
            <w:tcW w:w="1092" w:type="dxa"/>
            <w:tcBorders>
              <w:bottom w:val="single" w:sz="8" w:space="0" w:color="000000"/>
            </w:tcBorders>
            <w:tcMar>
              <w:bottom w:w="53"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HA-MD,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1007 Church Road,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Bear</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Delaware 19702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(F; 15.00%)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6/6/2026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Hugo Technologies,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401 N. Michigan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Ave., Suite 1200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Administrative and Support and Waste Management and Remediation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11.67% (S + 8.00%; 3.25%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12/10/2030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Illicit - S1 Enterprises,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3823 N. Cobbler Road</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Independence, MO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64058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13.96% (S + 10.24%; 3.72%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12/31/2028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14,820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14,467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14,375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Kaleafa,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16489 Oaktree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Terrace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Oregon City, Oregon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97045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17.00% (P + 8.50%; 8.50%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12/3/2027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Kapple Holdings LLC (Cannabis &amp; Glass)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605 East Francis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Avenue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Spokane, WA 99208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14.25% (S + 10.25%; 4.00%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7/28/2028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5,950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5,970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Nova Farms,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 Washington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Street</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Attleboro, MA 02703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(P + 6.50%; 8.50%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3/28/2027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13,891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13,475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Oasis - AZ GOAT AZ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30 N Gould St., Suite R</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Sheridan, WY 82801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15.50% (P + 7.50%; 8.00%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3/31/2027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4,193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4,183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4,088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Ocular Science,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118 Center Street</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El Segundo, CA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90245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(P + 5.25%; 1.00% PIK; 6.75%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6/17/2029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4,872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4,760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Ocular Science,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118 Center Street</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El Segundo, CA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90245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Portofino Labs, Inc. (dba Because Market)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350 Cambridge Ave,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Palo Alto, CA 94306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(S + 6.25%; 1.50% PIK; 4.25%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4/30/2029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Portofino Labs, Inc. (dba Because Market)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350 Cambridge Ave, Suite 100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Palo Alto, CA 94306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Retail Trade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Protect Animals With Satellites LLC (Halo Collar)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50 Tice Boulevard,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340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Woodcliff Lake, NJ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07677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(P + 3.25%; 2.00% PIK; 6.75%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3/30/2031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3,573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3,499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3,573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Protect Animals With Satellites LLC (Halo Collar)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50 Tice Boulevard, Suite 340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Woodcliff Lake, NJ 07677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Incremental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(P + 3.25%; 2.00% PIK; 6.75%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3/30/2031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1,839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1,801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1,839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Remedy - Maryland Wellness,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4128 Hayward Ave.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Baltimore, MD 21215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20.25% (P + 9.00%; 3.50% PIK; 7.75%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8/1/2028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1,385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1,385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1,406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Round 2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12775 Horseferry 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(P + 5.25%; 1.00% PIK; 6.75%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3/2/2030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7,250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7,250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Round 2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12775 Horseferry 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#230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Manufacturing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RTCP,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4215 E McDowell Rd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#108</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Mesa, AZ 85215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Finance and Insurance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Senior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Secured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(F; 15.00%)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10/2/2028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21,983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Shangri-La Columbia,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1401 Creekwood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Parkway</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Columbia, MO 65202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13.25% (P + 5.75%; 13.25%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6/30/2028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11,040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10,874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10,874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Silver Therapeutics,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89 Court Street</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Saratoga Springs, NY 12866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(P + 7.25%; 7.75%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6,171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6,171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6,047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Subsero Holdings - Illinois,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 S Old Woodward Ave, Suite 105</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Birmingham, MI 48009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(P + 7.00%; 2.00% PIK; 7.00%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7/29/2026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2,644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2,763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TerrAscend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77 City Centre Drive Suite 501 - East Tower</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Mississauga, Ontario, Canada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(F; 12.75%)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8/1/2028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2,853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2,878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(6) </w:t>
            </w:r>
          </w:p>
        </w:tc>
      </w:tr>
      <w:tr>
        <w:trPr/>
        <w:tc>
          <w:tcPr>
            <w:tcW w:w="109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TheraTrue,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4062 Peachtree Road SE, Suite A300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Atlanta, Georgia 30319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Delayed Draw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14.50% (F; 14.50%)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3/13/2027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3,001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Tulip.io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210-137 Glasgow Street, Office #192</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Kitchener, N2G 4X8, Ontario, Canada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16.50% (P + 4.00%; 4.50% PIK; 8.00%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11/4/2028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3,123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3,092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09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7966x1_n14_124-portfolio_pg3"/>
        <w:bookmarkEnd w:id="1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78"/>
        <w:gridCol w:w="140"/>
        <w:gridCol w:w="140"/>
        <w:gridCol w:w="911"/>
        <w:gridCol w:w="140"/>
        <w:gridCol w:w="140"/>
        <w:gridCol w:w="1096"/>
        <w:gridCol w:w="140"/>
        <w:gridCol w:w="140"/>
        <w:gridCol w:w="695"/>
        <w:gridCol w:w="140"/>
        <w:gridCol w:w="140"/>
        <w:gridCol w:w="850"/>
        <w:gridCol w:w="140"/>
        <w:gridCol w:w="140"/>
        <w:gridCol w:w="585"/>
        <w:gridCol w:w="140"/>
        <w:gridCol w:w="140"/>
        <w:gridCol w:w="575"/>
        <w:gridCol w:w="140"/>
        <w:gridCol w:w="140"/>
        <w:gridCol w:w="500"/>
        <w:gridCol w:w="140"/>
        <w:gridCol w:w="140"/>
        <w:gridCol w:w="505"/>
        <w:gridCol w:w="140"/>
        <w:gridCol w:w="140"/>
        <w:gridCol w:w="690"/>
      </w:tblGrid>
      <w:tr>
        <w:trPr/>
        <w:tc>
          <w:tcPr>
            <w:tcW w:w="12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r>
      <w:tr>
        <w:trPr/>
        <w:tc>
          <w:tcPr>
            <w:tcW w:w="1278" w:type="dxa"/>
            <w:tcBorders>
              <w:bottom w:val="single" w:sz="8" w:space="0" w:color="000000"/>
            </w:tcBorders>
            <w:tcMar>
              <w:bottom w:w="53"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Verano Holdings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224 W Hill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400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11.66% (S + 7.66%; 4.00%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3/11/2029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38,325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38,325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38,325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2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Verano Holdings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224 W Hill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400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Revolver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12.33% (S + 8.33%; 4.00%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2/28/2029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26,667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26,667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26,533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Wellgreens 2.0,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6859 Federal Blvd.,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Suite B</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Lemon Grove,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 91945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14.00% (P + 6.50%;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7/31/2029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4,391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4,428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4,303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2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West Creek Financial Holdings, Inc. dba Koalafi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424 Hull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600,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Richmond, VA 23224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Finance and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Series A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Senior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18.80% (F; 13.80%; 5.00%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11/29/2027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2,757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420 North Wabash Avenue, Suite 500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(F; 6.00%; 6.00%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5/31/2029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2,267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2,039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2,041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2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420 North Wabash Avenue, Suite 500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A-1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420 North Wabash Avenue, Suite 500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A-3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97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Workbox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420 North Wabash Avenue, Suite 500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Real Estate and Rental and Leasing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A-4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296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Wyld - Northwest Commonwealth,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12775 Horseferry Rd #230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16.67% (P + 8.42%; 1.50% PIK; 6.75%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1/30/2029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11,750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11,750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11,750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(7) </w:t>
            </w:r>
          </w:p>
        </w:tc>
      </w:tr>
      <w:tr>
        <w:trPr/>
        <w:tc>
          <w:tcPr>
            <w:tcW w:w="127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Youth Opportunity Investments,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12775 Horseferry Rd #230</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Carmel, IN 46032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Public Administration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11.75% (S + 7.75%; 4.00%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9/18/2026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11,292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11,267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righ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11,349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Total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366,138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364,291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color w:val="000000"/>
                <w:sz w:val="14"/>
              </w:rPr>
            </w:pPr>
            <w:r>
              <w:rPr>
                <w:rFonts w:ascii="Times New Roman;Times;serif" w:hAnsi="Times New Roman;Times;serif"/>
                <w:color w:val="000000"/>
                <w:sz w:val="14"/>
              </w:rPr>
              <w:t xml:space="preserve">363,967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27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18"/>
        <w:gridCol w:w="9487"/>
      </w:tblGrid>
      <w:tr>
        <w:trPr/>
        <w:tc>
          <w:tcPr>
            <w:tcW w:w="1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March 31, 2026, rates for 1M S, 3M S and 6M S are 3.65%, 3.68%, and 3.86%, respectively. As of March 31, 2026, the P was 6.75%. Loans identified as “F” pay interest at the fixed rate listed in the table. Payment-in-kind component of interest is identified as “PIK.” </w:t>
            </w:r>
          </w:p>
        </w:tc>
      </w:tr>
    </w:tbl>
    <w:tbl>
      <w:tblPr>
        <w:tblW w:w="9605" w:type="dxa"/>
        <w:jc w:val="left"/>
        <w:tblInd w:w="600" w:type="dxa"/>
        <w:tblLayout w:type="fixed"/>
        <w:tblCellMar>
          <w:top w:w="0" w:type="dxa"/>
          <w:left w:w="0" w:type="dxa"/>
          <w:bottom w:w="0" w:type="dxa"/>
          <w:right w:w="0" w:type="dxa"/>
        </w:tblCellMar>
      </w:tblPr>
      <w:tblGrid>
        <w:gridCol w:w="146"/>
        <w:gridCol w:w="9459"/>
      </w:tblGrid>
      <w:tr>
        <w:trPr/>
        <w:tc>
          <w:tcPr>
            <w:tcW w:w="1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5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LIEN uses the North American Industry Classification System (“NAICS”) code for classifying the industry grouping of its portfolio companies, excluding any portfolio company operating in the cannabis industry. </w:t>
            </w:r>
          </w:p>
        </w:tc>
      </w:tr>
    </w:tbl>
    <w:tbl>
      <w:tblPr>
        <w:tblW w:w="9235" w:type="dxa"/>
        <w:jc w:val="left"/>
        <w:tblInd w:w="600" w:type="dxa"/>
        <w:tblLayout w:type="fixed"/>
        <w:tblCellMar>
          <w:top w:w="0" w:type="dxa"/>
          <w:left w:w="0" w:type="dxa"/>
          <w:bottom w:w="0" w:type="dxa"/>
          <w:right w:w="0" w:type="dxa"/>
        </w:tblCellMar>
      </w:tblPr>
      <w:tblGrid>
        <w:gridCol w:w="170"/>
        <w:gridCol w:w="906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 non-income producing investment. As of March 31, 2026, no debt investments are deemed as non-income producing. </w:t>
            </w:r>
          </w:p>
        </w:tc>
      </w:tr>
    </w:tbl>
    <w:tbl>
      <w:tblPr>
        <w:tblW w:w="2710" w:type="dxa"/>
        <w:jc w:val="left"/>
        <w:tblInd w:w="60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25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Non-controlled affiliate investment. </w:t>
            </w:r>
          </w:p>
        </w:tc>
      </w:tr>
    </w:tbl>
    <w:tbl>
      <w:tblPr>
        <w:tblW w:w="9605" w:type="dxa"/>
        <w:jc w:val="left"/>
        <w:tblInd w:w="600" w:type="dxa"/>
        <w:tblLayout w:type="fixed"/>
        <w:tblCellMar>
          <w:top w:w="0" w:type="dxa"/>
          <w:left w:w="0" w:type="dxa"/>
          <w:bottom w:w="0" w:type="dxa"/>
          <w:right w:w="0" w:type="dxa"/>
        </w:tblCellMar>
      </w:tblPr>
      <w:tblGrid>
        <w:gridCol w:w="125"/>
        <w:gridCol w:w="9480"/>
      </w:tblGrid>
      <w:tr>
        <w:trPr/>
        <w:tc>
          <w:tcPr>
            <w:tcW w:w="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4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Under the 1940 Act, as amended, LIEN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 No portfolio companies were deemed as “Controlled” nor “Controlled Affiliates” </w:t>
            </w:r>
          </w:p>
        </w:tc>
      </w:tr>
    </w:tbl>
    <w:tbl>
      <w:tblPr>
        <w:tblW w:w="3025" w:type="dxa"/>
        <w:jc w:val="left"/>
        <w:tblInd w:w="600" w:type="dxa"/>
        <w:tblLayout w:type="fixed"/>
        <w:tblCellMar>
          <w:top w:w="0" w:type="dxa"/>
          <w:left w:w="0" w:type="dxa"/>
          <w:bottom w:w="0" w:type="dxa"/>
          <w:right w:w="0" w:type="dxa"/>
        </w:tblCellMar>
      </w:tblPr>
      <w:tblGrid>
        <w:gridCol w:w="170"/>
        <w:gridCol w:w="285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28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Facility has an all in rate cap of 16.75%. </w:t>
            </w:r>
          </w:p>
        </w:tc>
      </w:tr>
    </w:tbl>
    <w:tbl>
      <w:tblPr>
        <w:tblW w:w="2905" w:type="dxa"/>
        <w:jc w:val="left"/>
        <w:tblInd w:w="600" w:type="dxa"/>
        <w:tblLayout w:type="fixed"/>
        <w:tblCellMar>
          <w:top w:w="0" w:type="dxa"/>
          <w:left w:w="0" w:type="dxa"/>
          <w:bottom w:w="0" w:type="dxa"/>
          <w:right w:w="0" w:type="dxa"/>
        </w:tblCellMar>
      </w:tblPr>
      <w:tblGrid>
        <w:gridCol w:w="170"/>
        <w:gridCol w:w="273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2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Facility has a prime rate cap of 9.50%.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77966x1_n14_125-management_pg1"/>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0" w:name="tMAN"/>
      <w:bookmarkEnd w:id="190"/>
      <w:r>
        <w:rPr>
          <w:rFonts w:ascii="Times New Roman;Times;serif" w:hAnsi="Times New Roman;Times;serif"/>
          <w:b/>
          <w:color w:val="000000"/>
          <w:sz w:val="20"/>
        </w:rPr>
        <w:t xml:space="preserve">MANAGEMENT AGREEMENTS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Investment Advisory Agreement” and “Item 1. Business — Administration Agreement” in Part I of LIEN’s Annual Report on </w:t>
      </w:r>
      <w:hyperlink r:id="rId14">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7966x1_n14_126-certain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2" w:name="tCER"/>
      <w:bookmarkEnd w:id="192"/>
      <w:r>
        <w:rPr>
          <w:rFonts w:ascii="Times New Roman;Times;serif" w:hAnsi="Times New Roman;Times;serif"/>
          <w:b/>
          <w:color w:val="000000"/>
          <w:sz w:val="20"/>
        </w:rPr>
        <w:t xml:space="preserve">CERTAIN RELATIONSHIPS AND RELATED PARTY TRANSACTIONS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“Certain Relationships and Related Party Transactions” in LIEN’s most recent definitive proxy statement on </w:t>
      </w:r>
      <w:hyperlink r:id="rId15">
        <w:r>
          <w:rPr>
            <w:rStyle w:val="InternetLink"/>
          </w:rPr>
          <w:t>Schedule 14A</w:t>
        </w:r>
      </w:hyperlink>
      <w:r>
        <w:rPr>
          <w:rFonts w:ascii="Times New Roman;Times;serif" w:hAnsi="Times New Roman;Times;serif"/>
          <w:i/>
          <w:color w:val="000000"/>
          <w:sz w:val="20"/>
        </w:rPr>
        <w:t>, filed with the SEC on April 30,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7966x1_n14_127-shareholders_pg1"/>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4" w:name="tCON"/>
      <w:bookmarkEnd w:id="194"/>
      <w:r>
        <w:rPr>
          <w:rFonts w:ascii="Times New Roman;Times;serif" w:hAnsi="Times New Roman;Times;serif"/>
          <w:b/>
          <w:color w:val="000000"/>
          <w:sz w:val="20"/>
        </w:rPr>
        <w:t xml:space="preserve">CONTROL PERSONS AND PRINCIPAL SHAREHOLDERS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July 22, 2026, the beneficial ownership information of each current LIEN director, as well as LIEN’s executive officers, each person known to it to beneficially own 5% or more of the outstanding shares of LIEN Common Stock, and the LIEN executive officers and directors as a group. Percentage of beneficial ownership is based on 22,820,590 shares of LIEN Common Stock outstanding as of July 22,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the securities.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the beneficial ownership according to information furnished to LIEN by such persons or publicly available filings. Ownership information for those persons who beneficially own 5% or more of the outstanding shares of LIEN Common Stock is based upon filings by such persons with the SEC and other information obtained from such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LIEN’s knowledge, except as indicated in the footnotes to the table, each of the shareholders listed below has sole voting and/or investment power with respect to shares of LIEN Common Stock beneficially owned by such LIEN Shareholder. The address of all LIEN executive officers and directors is c/o Chicago Atlantic BDC, Inc., 600 Madison Avenue, Suite 1800 New York, NY 10022. </w:t>
      </w:r>
    </w:p>
    <w:tbl>
      <w:tblPr>
        <w:tblW w:w="10085" w:type="dxa"/>
        <w:jc w:val="left"/>
        <w:tblInd w:w="0" w:type="dxa"/>
        <w:tblLayout w:type="fixed"/>
        <w:tblCellMar>
          <w:top w:w="0" w:type="dxa"/>
          <w:left w:w="0" w:type="dxa"/>
          <w:bottom w:w="0" w:type="dxa"/>
          <w:right w:w="0" w:type="dxa"/>
        </w:tblCellMar>
      </w:tblPr>
      <w:tblGrid>
        <w:gridCol w:w="5360"/>
        <w:gridCol w:w="140"/>
        <w:gridCol w:w="140"/>
        <w:gridCol w:w="1175"/>
        <w:gridCol w:w="140"/>
        <w:gridCol w:w="140"/>
        <w:gridCol w:w="1070"/>
        <w:gridCol w:w="140"/>
        <w:gridCol w:w="140"/>
        <w:gridCol w:w="1640"/>
      </w:tblGrid>
      <w:tr>
        <w:trPr/>
        <w:tc>
          <w:tcPr>
            <w:tcW w:w="5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r>
      <w:tr>
        <w:trPr/>
        <w:tc>
          <w:tcPr>
            <w:tcW w:w="53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(Company or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LIEN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Owned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Outstanding(2)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0"/>
              <w:jc w:val="center"/>
              <w:rPr>
                <w:color w:val="000000"/>
              </w:rPr>
            </w:pPr>
            <w:r>
              <w:rPr>
                <w:color w:val="000000"/>
              </w:rPr>
              <w:t>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BDC Advisers,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Silver Spike Holdings, LP(3)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Silver Spike Holdings GP,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BDC Holdings, LLC(3)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2,887,204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Group, LP(3)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3,128,408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3,153,408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 </w:t>
            </w:r>
          </w:p>
        </w:tc>
      </w:tr>
      <w:tr>
        <w:trPr/>
        <w:tc>
          <w:tcPr>
            <w:tcW w:w="53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3,152,824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3,128,408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center"/>
              <w:rPr>
                <w:color w:val="000000"/>
              </w:rPr>
            </w:pPr>
            <w:r>
              <w:rPr>
                <w:color w:val="000000"/>
              </w:rPr>
              <w:t> </w:t>
            </w:r>
          </w:p>
        </w:tc>
      </w:tr>
      <w:tr>
        <w:trPr/>
        <w:tc>
          <w:tcPr>
            <w:tcW w:w="53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2,922,228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Independent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center"/>
              <w:rPr>
                <w:color w:val="000000"/>
              </w:rPr>
            </w:pPr>
            <w:r>
              <w:rPr>
                <w:color w:val="000000"/>
              </w:rPr>
              <w:t>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W. Chorske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Americo Da Corte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Supurna VedBrat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Tracey Brophy Warson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0"/>
              <w:jc w:val="center"/>
              <w:rPr>
                <w:color w:val="000000"/>
              </w:rPr>
            </w:pPr>
            <w:r>
              <w:rPr>
                <w:color w:val="000000"/>
              </w:rPr>
              <w:t>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Dino Colonna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2,430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5,918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Geoffroy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5,924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Lovitt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Gianni Fazio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8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40" w:type="dxa"/>
            <w:tcBorders/>
            <w:shd w:fill="CCEEFF" w:val="clear"/>
            <w:vAlign w:val="center"/>
          </w:tcPr>
          <w:p>
            <w:pPr>
              <w:pStyle w:val="TableContents"/>
              <w:bidi w:val="0"/>
              <w:spacing w:before="0" w:after="283"/>
              <w:ind w:left="583" w:right="0" w:hanging="0"/>
              <w:jc w:val="left"/>
              <w:rPr>
                <w:color w:val="000000"/>
              </w:rPr>
            </w:pPr>
            <w:r>
              <w:rPr>
                <w:color w:val="000000"/>
              </w:rPr>
              <w:t xml:space="preserve">— </w:t>
            </w:r>
          </w:p>
        </w:tc>
      </w:tr>
      <w:tr>
        <w:trPr/>
        <w:tc>
          <w:tcPr>
            <w:tcW w:w="536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Executive Officers and Directors as a Group (11 persons)(8)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2,936,913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83"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r>
      <w:tr>
        <w:trPr/>
        <w:tc>
          <w:tcPr>
            <w:tcW w:w="5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7165" w:type="dxa"/>
        <w:jc w:val="left"/>
        <w:tblInd w:w="0" w:type="dxa"/>
        <w:tblLayout w:type="fixed"/>
        <w:tblCellMar>
          <w:top w:w="0" w:type="dxa"/>
          <w:left w:w="0" w:type="dxa"/>
          <w:bottom w:w="0" w:type="dxa"/>
          <w:right w:w="0" w:type="dxa"/>
        </w:tblCellMar>
      </w:tblPr>
      <w:tblGrid>
        <w:gridCol w:w="230"/>
        <w:gridCol w:w="69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13d-3 under the Exchange Act. </w:t>
            </w:r>
          </w:p>
        </w:tc>
      </w:tr>
    </w:tbl>
    <w:tbl>
      <w:tblPr>
        <w:tblW w:w="9985" w:type="dxa"/>
        <w:jc w:val="left"/>
        <w:tblInd w:w="0" w:type="dxa"/>
        <w:tblLayout w:type="fixed"/>
        <w:tblCellMar>
          <w:top w:w="0" w:type="dxa"/>
          <w:left w:w="0" w:type="dxa"/>
          <w:bottom w:w="0" w:type="dxa"/>
          <w:right w:w="0" w:type="dxa"/>
        </w:tblCellMar>
      </w:tblPr>
      <w:tblGrid>
        <w:gridCol w:w="230"/>
        <w:gridCol w:w="97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Pro forma percentage of ownership is based on 45,999,318 shares of LIEN Common Stock expected be outstanding immediately following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7966x1_n14_127-shareholders_pg2"/>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completion of the Merger based on the number of issued and outstanding shares of LIEN Common Stock and REFI Common Stock as of [   ], 2026 and the NAV per share of LIEN Common Stock and the NAV per share of REFI Common Stock on such date, and includes shares of REFI Common Stock that may be exchanged for shares of LIEN Common Stock in accordance with the terms of the Merger Agreement.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shares of LIEN Common Stock held directly by LIEN Adviser. Silver Spike Holdings, LP owns over 25% of the ownership interests of LIEN Adviser. Silver Spike Holdings GP, LLC is the general partner of Silver Spike Holdings, LP. LIEN Adviser is majority-owned by Chicago Atlantic BDC Holdings, LLC. Chicago Atlantic Group, LP is the majority-owner and managing member of Chicago Atlantic BDC Holdings, LLC. The address for each of LIEN Adviser, Silver Spike Holdings, LP and Silver Spike Holdings GP, LLC is 600 Madison Avenue, Suite 1800, New York, New York 10022. The address for each of Chicago Atlantic BDC Holdings, LLC and Chicago Atlantic Group, LP is 420 North Wabash Avenue, Suite 500, Chicago, Illinois 60611. Each of Silver Spike Holdings, LP, Silver Spike Holdings GP, LLC, Chicago Atlantic BDC Holdings, LLC and Chicago Atlantic Group, LP disclaims beneficial ownership of the shares of LIEN Common Stock held by LIEN Adviser except to the extent of its pecuniary interest therein.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25,000 shares of LIEN Common Stock held directly by Dr. Bodmeier and 3,128,408 shares of LIEN Common Stock held indirectly through LIEN Adviser and Chicago Atlantic Group, LP. Dr. Bodmeier directly (whether through ownership or position) or indirectly through one or more intermediaries, may be deemed for purposes of Section 13 of the Exchange Act to be the indirect beneficial owner of the shares of LIEN Common Stock held by LIEN Adviser. Dr. Bodmeier disclaims beneficial ownership of the shares of LIEN Common Stock held by LIEN Adviser except to the extent of his pecuniary interest therein. The address for Dr. Bodmeier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24,416 shares of LIEN Common Stock held directly by Mr. Cappell and 3,128,408 shares of LIEN Common Stock held indirectly through LIEN Adviser and Chicago Atlantic Group, LP. Mr. Cappell directly (whether through ownership or position) or indirectly through one or more intermediaries, may be deemed for purposes of Section 13 of the Exchange Act to be the indirect beneficial owner of the shares of LIEN Common Stock held by LIEN Adviser. Mr. Cappell disclaims beneficial ownership of the shares of LIEN Common Stock held by LIEN Adviser except to the extent of his pecuniary interest therein. The address for Mr. Cappell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3,128,408 shares of LIEN Common Stock held indirectly through LIEN Adviser and Chicago Atlantic Group, LP. Mr. Mazarakis directly (whether through ownership or position) or indirectly through one or more intermediaries, may be deemed for purposes of Section 13 of the Exchange Act to be the indirect beneficial owner of the shares of LIEN Common Stock held by LIEN Adviser. Mr. Mazarakis disclaims beneficial ownership of the shares of LIEN Common Stock held by LIEN Adviser except to the extent of his pecuniary interest therein. The address for Mr. Mazarakis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35,024 shares of LIEN Common Stock held directly by Mr. Gordon and 2,887,204 shares of LIEN Common Stock held indirectly through LIEN Adviser. Mr. Gordon directly (whether through ownership or position) or indirectly through one or more intermediaries, may be deemed for purposes of Section 13 of the Exchange Act to be the indirect beneficial owner of the shares of LIEN Common Stock held by LIEN Adviser. Mr. Gordon disclaims beneficial ownership of the shares of LIEN Common Stock held by LIEN Adviser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address for each of the directors and executive officers is c/o Chicago Atlantic BDC, Inc., 600 Madison Avenue, Suite 1800, New York, New York 10022.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[July 22], 2026, the dollar range of LIEN’s equity securities that is beneficially owned by each of the current directors of LIEN as one of the following dollar ranges: None; $1 - $10,000; $10,001 - $50,000; $50,001 - $100,000; or Over $100,000: </w:t>
      </w:r>
    </w:p>
    <w:tbl>
      <w:tblPr>
        <w:tblW w:w="4085" w:type="dxa"/>
        <w:jc w:val="left"/>
        <w:tblInd w:w="0" w:type="dxa"/>
        <w:tblLayout w:type="fixed"/>
        <w:tblCellMar>
          <w:top w:w="0" w:type="dxa"/>
          <w:left w:w="0" w:type="dxa"/>
          <w:bottom w:w="0" w:type="dxa"/>
          <w:right w:w="0" w:type="dxa"/>
        </w:tblCellMar>
      </w:tblPr>
      <w:tblGrid>
        <w:gridCol w:w="1910"/>
        <w:gridCol w:w="140"/>
        <w:gridCol w:w="140"/>
        <w:gridCol w:w="1895"/>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Securities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Owned(1)(2)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Interested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$100,000(3)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Independent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Michael W. Chorske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Americo Da Corte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Supurna VedBrat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Tracey Brophy Warson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None</w:t>
            </w:r>
          </w:p>
        </w:tc>
      </w:tr>
      <w:tr>
        <w:trPr/>
        <w:tc>
          <w:tcPr>
            <w:tcW w:w="1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r>
    </w:tbl>
    <w:tbl>
      <w:tblPr>
        <w:tblW w:w="7300" w:type="dxa"/>
        <w:jc w:val="left"/>
        <w:tblInd w:w="0" w:type="dxa"/>
        <w:tblLayout w:type="fixed"/>
        <w:tblCellMar>
          <w:top w:w="0" w:type="dxa"/>
          <w:left w:w="0" w:type="dxa"/>
          <w:bottom w:w="0" w:type="dxa"/>
          <w:right w:w="0" w:type="dxa"/>
        </w:tblCellMar>
      </w:tblPr>
      <w:tblGrid>
        <w:gridCol w:w="230"/>
        <w:gridCol w:w="70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of the Exchange Act.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LIEN beneficially owned by directors of LIEN, if applicable, is calculated by multiplying the closing price per share of LIEN Common Stock on the LIEN Record Date on the NASDAQ, by the number of shares of LIEN Common Stock beneficially owned.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of LIEN Common Stock held by LIEN Adviser. Mr. Gordon directly (whether through ownership or position) or indirectly through one or more intermediaries, may be deemed for purposes of Section 16 of the Exchange Act to be the indirect beneficial owner of the shares of LIEN Common Stock held by LIEN Adviser. Mr. Gordon disclaims beneficial ownership of the shares of LIEN Common Stock held by LIEN Adviser except to the extent of his pecuniary interest therein.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7966x1_n14_128-management01_pg1"/>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7" w:name="tMOL"/>
      <w:bookmarkEnd w:id="197"/>
      <w:r>
        <w:rPr>
          <w:rFonts w:ascii="Times New Roman;Times;serif" w:hAnsi="Times New Roman;Times;serif"/>
          <w:b/>
          <w:color w:val="000000"/>
          <w:sz w:val="20"/>
        </w:rPr>
        <w:t xml:space="preserve">MANAGEMENT OF LIEN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“Proposal 1: Election of Director Nominees”, “Corporate Governance” and “Director Compensation” in LIEN’s most recent definitive proxy statement on </w:t>
      </w:r>
      <w:hyperlink r:id="rId16">
        <w:r>
          <w:rPr>
            <w:rStyle w:val="InternetLink"/>
          </w:rPr>
          <w:t>Schedule 14A</w:t>
        </w:r>
      </w:hyperlink>
      <w:r>
        <w:rPr>
          <w:rFonts w:ascii="Times New Roman;Times;serif" w:hAnsi="Times New Roman;Times;serif"/>
          <w:i/>
          <w:color w:val="000000"/>
          <w:sz w:val="20"/>
        </w:rPr>
        <w:t>, filed with the SEC on April 30,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7966x1_n14_128-management01_pg2"/>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POL"/>
      <w:bookmarkEnd w:id="199"/>
      <w:r>
        <w:rPr>
          <w:rFonts w:ascii="Times New Roman;Times;serif" w:hAnsi="Times New Roman;Times;serif"/>
          <w:b/>
          <w:color w:val="000000"/>
          <w:sz w:val="20"/>
        </w:rPr>
        <w:t xml:space="preserve">PORTFOLIO MANAGEMENT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Adviser serves as the investment adviser to LIEN pursuant to the LIEN Investment Advisory Agreement. LIEN Adviser is registered as an investment adviser under the Advisers Act. Subject to the overall supervision of the LIEN Board, LIEN Adviser is responsible for evaluating and monitoring LIEN’s investments and providing day-to-day managerial services to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management of LIEN’s investment portfolio is the responsibility of LIEN Adviser and the LIEN Adviser Investment Committee. The LIEN Adviser Investment Committee currently consists of Andreas Bodmeier, a Partner of LIEN Adviser, Scott Gordon, the Executive Chairman of the LIEN Board, LIEN’s Co-Chief Investment Officer and a Partner of LIEN Adviser, Umesh Mahajan, LIEN’s Co-Chief Investment Officer and Secretary, and a Partner of LIEN Adviser, John Mazarakis, a Partner of LIEN Adviser, and Peter Sack, LIEN’s Chief Executive Officer and a Partner of LIEN Adviser. LIEN considers the members of the LIEN Adviser Investment Committee to be its portfolio managers. The LIEN Adviser Investment Committee sources investment opportunities, conducts research, performs due diligence on potential investments, structures LIEN’s investments and monitors LIEN’s portfolio companies on an ongoing basis. The LIEN Adviser Investment Committee meets regularly to consider investments for LIEN and direct the strategic initiatives of LIEN. In addition, the LIEN Adviser Investment Committee reviews and determines whether to make prospective investments (including approving parameters or guidelines pursuant to which investments may be made) and monitors the performance of LIEN’s investment portfolio. The LIEN Adviser Investment Committee manages and oversees LIEN’s investment process from identification of an investment opportunity through negotiations of final term sheet and investments in a portfolio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investment opportunity requires the approval of a majority of the LIEN Adviser Investment Committee. Follow-on investments in LIEN’s existing portfolio companies may require the LIEN Adviser Investment Committee’s approval beyond that obtained when the initial investment in the portfolio company was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packages of the LIEN Adviser Investment Committee members from LIEN Adviser include an annual base salary and an annual individual performance bonus. None of LIEN Adviser’s investment professionals receive any direct compensation from LIEN in connection with the management of LIEN’s portfolio. Certain members of the LIEN Adviser Investment Committee, through their financial interests in LIEN Adviser, are entitled to a portion of the profits earned by LIEN Adviser, which includes any fees payable to LIEN Adviser under the terms of the LIEN Investment Advisory Agreement, less expenses incurred by LIEN Adviser in performing its services under the LIEN Investment Advisory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LIEN Adviser Investment Committee function as portfolio managers with the most significant responsibility for the day-to-day management of LIEN’s portfolio. Information regarding the LIEN Adviser Investment Committee, is as follows: </w:t>
      </w:r>
    </w:p>
    <w:tbl>
      <w:tblPr>
        <w:tblW w:w="2870" w:type="dxa"/>
        <w:jc w:val="left"/>
        <w:tblInd w:w="0" w:type="dxa"/>
        <w:tblLayout w:type="fixed"/>
        <w:tblCellMar>
          <w:top w:w="0" w:type="dxa"/>
          <w:left w:w="0" w:type="dxa"/>
          <w:bottom w:w="0" w:type="dxa"/>
          <w:right w:w="0" w:type="dxa"/>
        </w:tblCellMar>
      </w:tblPr>
      <w:tblGrid>
        <w:gridCol w:w="1535"/>
        <w:gridCol w:w="140"/>
        <w:gridCol w:w="140"/>
        <w:gridCol w:w="105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of Birth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1988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1961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1971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1976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1989</w:t>
            </w:r>
          </w:p>
        </w:tc>
      </w:tr>
      <w:tr>
        <w:trPr/>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Below is biographical information for Mr. Mazarakis and Dr. Bodmeier. For biographical information relating to Messrs. Gordon, Mahajan and Sack, please see the section entitled “</w:t>
      </w:r>
      <w:r>
        <w:rPr>
          <w:rFonts w:ascii="Times New Roman;Times;serif" w:hAnsi="Times New Roman;Times;serif"/>
          <w:i/>
          <w:color w:val="000000"/>
          <w:sz w:val="20"/>
        </w:rPr>
        <w:t>Management of LIEN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John Mazarakis </w:t>
      </w:r>
      <w:r>
        <w:rPr>
          <w:rFonts w:ascii="Times New Roman;Times;serif" w:hAnsi="Times New Roman;Times;serif"/>
          <w:b w:val="false"/>
          <w:i w:val="false"/>
          <w:caps w:val="false"/>
          <w:smallCaps w:val="false"/>
          <w:color w:val="000000"/>
          <w:sz w:val="20"/>
        </w:rPr>
        <w:t xml:space="preserve">co-founded Chicago Atlantic in April 2019 and has served as REFI’s Executive Chairman since REFI’s inception. Mr. Mazarakis is the Co-Executive Chairman and Chief Executive Officer of Vireo Growth Inc., a Canada-based cannabis company whose mission is to provide safe access, quality products and value to its customers while supporting its local communities through active participation and restorative justice programs, since December 2024. As a proven entrepreneur and operator with successful ventures in real estate, retail, and hospitality, Mr. Mazarakis brings over 20 years of entrepreneurial, operational, and managerial experience. He has built a 30+ restaurant chain with more than 1,200 employees, established a real estate portfolio of over 30 properties, developed over 1 million square feet of commercial real estate, and completed multiple real estate financing transactions, at a cumulative annual growth rate exceeding 25%. He has invested in and served as an advisor to multiple successful startups. Mr. Mazarakis holds a Bachelor of Arts in Economics from the University of Delaware and a Master of Business Administration from The University of Chicago Booth School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7966x1_n14_128-management01_pg3"/>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Andreas A. Bodmeier,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co-founded Chicago Atlantic in April 2019 and served as Chief Executive Officer of LIEN from October 2024 until March 2025. Dr. Bodmeier also served as REFI’s Co-President and Chief Investment Officer from its inception in 2021 until March 2024 and as REFI’s President and Chief Investment Officer from March 2024 until March 2026. From October 2019 until December 2020, Dr. Bodmeier was a Senior Advisor to the Deputy Secretary in the Immediate Office of the Secretary at the United States Department of Health and Human Services focused on policy evaluation and the Department’s response to COVID-19. From June 2015 until March 2019, Dr. Bodmeier was President of Quantitative Treasury Analytics, LLC, a boutique consulting firm focused on risk management for corporate clients as well as advising on capital structure decisions and investor relations. From May 2017 until March 2019, Dr. Bodmeier was Co-founder, Chief Investment Officer, and Chief Compliance Officer of Kinetik Finance, Inc., an SEC-registered online investment adviser for 401(k) or 403(b) retirement accounts, where he built the firm’s investment methodology and compliance program. Dr. Bodmeier has also served as a consultant for hedge funds, proprietary trading firms, commercial and consumer lenders, and pharmaceutical companies. His academic research at The University of Chicago Booth School of Business focused on capital market anomalies, portfolio allocation, and risk management. Dr. Bodmeier holds a Ph.D. in Finance and Master of Business Administration from The University of Chicago Booth School of Business. Dr. Bodmeier received a Bachelor of Science in Mathematics and a Bachelor of Science in Physics from Freie University Berlin, Germany, a Bachelor of Science in Business Economics from University of Hagen, Germany, and a Master of Science in Statistics from Humboldt University Berlin, Germany.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shows the dollar range of shares of LIEN Common Stock beneficially owned as of July 22, 2026 by each member of the LIEN Adviser Investment Committee based on the closing price of LIEN Common Stock as reported on NASDAQ as of July 21, 2026 as one of the following dollar ranges: None; $1 - $10,000; $10,001 - $50,000; $50,001 - $100,000; or over $100,000: </w:t>
      </w:r>
    </w:p>
    <w:tbl>
      <w:tblPr>
        <w:tblW w:w="6185" w:type="dxa"/>
        <w:jc w:val="left"/>
        <w:tblInd w:w="0" w:type="dxa"/>
        <w:tblLayout w:type="fixed"/>
        <w:tblCellMar>
          <w:top w:w="0" w:type="dxa"/>
          <w:left w:w="0" w:type="dxa"/>
          <w:bottom w:w="0" w:type="dxa"/>
          <w:right w:w="0" w:type="dxa"/>
        </w:tblCellMar>
      </w:tblPr>
      <w:tblGrid>
        <w:gridCol w:w="4010"/>
        <w:gridCol w:w="140"/>
        <w:gridCol w:w="140"/>
        <w:gridCol w:w="1895"/>
      </w:tblGrid>
      <w:tr>
        <w:trPr/>
        <w:tc>
          <w:tcPr>
            <w:tcW w:w="4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40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LIEN Adviser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Securities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Owned(1)(2)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$100,000(3)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$100,000(4)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[$50,001 - $100,000]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$100,000(5)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[$50,001 - $100,000]</w:t>
            </w:r>
          </w:p>
        </w:tc>
      </w:tr>
      <w:tr>
        <w:trPr/>
        <w:tc>
          <w:tcPr>
            <w:tcW w:w="4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r>
    </w:tbl>
    <w:tbl>
      <w:tblPr>
        <w:tblW w:w="7555" w:type="dxa"/>
        <w:jc w:val="left"/>
        <w:tblInd w:w="0" w:type="dxa"/>
        <w:tblLayout w:type="fixed"/>
        <w:tblCellMar>
          <w:top w:w="0" w:type="dxa"/>
          <w:left w:w="0" w:type="dxa"/>
          <w:bottom w:w="0" w:type="dxa"/>
          <w:right w:w="0" w:type="dxa"/>
        </w:tblCellMar>
      </w:tblPr>
      <w:tblGrid>
        <w:gridCol w:w="230"/>
        <w:gridCol w:w="7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under the Exchange Act.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LIEN beneficially owned is calculated by multiplying the closing price of LIEN Common Stock on [ ], 2026 on NASDAQ, times the number of shares of LIEN Common Stock beneficially owned.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25,000 shares of LIEN Common Stock held directly by Dr. Bodmeier and 3,128,408 shares of LIEN Common Stock held indirectly through LIEN Adviser and Chicago Atlantic Group, LP. Dr. Bodmeier directly (whether through ownership or position) or indirectly through one or more intermediaries, may be deemed for purposes of Section 13 of the Exchange Act to be the indirect beneficial owner of the shares of LIEN Common Stock held by LIEN Adviser. Dr. Bodmeier disclaims beneficial ownership of the shares of LIEN Common Stock held by LIEN Adviser except to the extent of his pecuniary interest therein. The address for Dr. Bodmeier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36,024 shares of LIEN Common Stock held directly by Mr. Gordon and 2,887,204 shares of LIEN Common Stock held indirectly through LIEN Adviser. Mr. Gordon directly (whether through ownership or position) or indirectly through one or more intermediaries, may be deemed for purposes of Section 13 of the Exchange Act to be the indirect beneficial owner of the shares of LIEN Common Stock held by LIEN Adviser. Mr. Gordon disclaims beneficial ownership of the shares of LIEN Common Stock held by LIEN Adviser except to the extent of his pecuniary interest therein. The address for Mr. Gordon is c/o Chicago Atlantic Group, LP, 420 North Wabash Avenue, Suite 500, Chicago, Illinois 60611.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3,128,408 shares of LIEN Common Stock held indirectly through LIEN Adviser and Chicago Atlantic Group, LP. Mr. Mazarakis directly (whether through ownership or position) or indirectly through one or more intermediaries, may be deemed for purposes of Section 13 of the Exchange Act to be the indirect beneficial owner of the shares of LIEN Common Stock held by LIEN Adviser. Mr. Mazarakis disclaims beneficial ownership of the shares of LIEN Common Stock held by LIEN Adviser except to the extent of his pecuniary interest therein. The address for Mr. Mazarakis is c/o Chicago Atlantic Group, LP, 420 North Wabash Avenue, Suite 500, Chicago, Illinois 60611.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77966x1_n14_128-management01_pg4"/>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managing the investments of LIEN, John Mazarakis, Peter Sack and Andreas Bodmeier also manage investments on behalf of REFI as members of the REFI Manager Investment Committee. The table below lists the number of other accounts for which each current member of the LIEN Adviser Investment Committee was primarily responsible for the day-to-day management as of [ ], 2026. </w:t>
      </w:r>
    </w:p>
    <w:tbl>
      <w:tblPr>
        <w:tblW w:w="10205" w:type="dxa"/>
        <w:jc w:val="left"/>
        <w:tblInd w:w="0" w:type="dxa"/>
        <w:tblLayout w:type="fixed"/>
        <w:tblCellMar>
          <w:top w:w="0" w:type="dxa"/>
          <w:left w:w="0" w:type="dxa"/>
          <w:bottom w:w="0" w:type="dxa"/>
          <w:right w:w="0" w:type="dxa"/>
        </w:tblCellMar>
      </w:tblPr>
      <w:tblGrid>
        <w:gridCol w:w="2712"/>
        <w:gridCol w:w="140"/>
        <w:gridCol w:w="140"/>
        <w:gridCol w:w="2060"/>
        <w:gridCol w:w="140"/>
        <w:gridCol w:w="140"/>
        <w:gridCol w:w="993"/>
        <w:gridCol w:w="140"/>
        <w:gridCol w:w="140"/>
        <w:gridCol w:w="785"/>
        <w:gridCol w:w="140"/>
        <w:gridCol w:w="140"/>
        <w:gridCol w:w="1105"/>
        <w:gridCol w:w="140"/>
        <w:gridCol w:w="140"/>
        <w:gridCol w:w="1150"/>
      </w:tblGrid>
      <w:tr>
        <w:trPr/>
        <w:tc>
          <w:tcPr>
            <w:tcW w:w="27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0"/>
              <w:jc w:val="left"/>
              <w:rPr/>
            </w:pPr>
            <w:r>
              <w:rPr/>
              <w:t> </w:t>
            </w:r>
          </w:p>
        </w:tc>
      </w:tr>
      <w:tr>
        <w:trPr/>
        <w:tc>
          <w:tcPr>
            <w:tcW w:w="271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LIEN Adviser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Type of Accounts(1)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No.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Managed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Assets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 of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Accounts where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Advisory Fee 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Assets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where Advisory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 is 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millions) </w:t>
            </w:r>
          </w:p>
        </w:tc>
      </w:tr>
      <w:tr>
        <w:trPr/>
        <w:tc>
          <w:tcPr>
            <w:tcW w:w="27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Andreas Bodmeier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Gordon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Umesh Mahajan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3"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71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271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0"/>
              <w:jc w:val="left"/>
              <w:rPr/>
            </w:pPr>
            <w:r>
              <w:rPr/>
              <w:t> </w:t>
            </w:r>
          </w:p>
        </w:tc>
      </w:tr>
    </w:tbl>
    <w:tbl>
      <w:tblPr>
        <w:tblW w:w="5515" w:type="dxa"/>
        <w:jc w:val="left"/>
        <w:tblInd w:w="0" w:type="dxa"/>
        <w:tblLayout w:type="fixed"/>
        <w:tblCellMar>
          <w:top w:w="0" w:type="dxa"/>
          <w:left w:w="0" w:type="dxa"/>
          <w:bottom w:w="0" w:type="dxa"/>
          <w:right w:w="0" w:type="dxa"/>
        </w:tblCellMar>
      </w:tblPr>
      <w:tblGrid>
        <w:gridCol w:w="230"/>
        <w:gridCol w:w="52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purposes of this table, Registered Investment Companies include BDCs.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77966x1_n14_129-bus01_pg1"/>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3" w:name="tBUR"/>
      <w:bookmarkEnd w:id="203"/>
      <w:r>
        <w:rPr>
          <w:rFonts w:ascii="Times New Roman;Times;serif" w:hAnsi="Times New Roman;Times;serif"/>
          <w:b/>
          <w:color w:val="000000"/>
          <w:sz w:val="20"/>
        </w:rPr>
        <w:t xml:space="preserve">BUSINESS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in Part I of REFI’s Annual Report on </w:t>
      </w:r>
      <w:hyperlink r:id="rId17">
        <w:r>
          <w:rPr>
            <w:rStyle w:val="InternetLink"/>
          </w:rPr>
          <w:t>Form 10-K</w:t>
        </w:r>
      </w:hyperlink>
      <w:r>
        <w:rPr>
          <w:rFonts w:ascii="Times New Roman;Times;serif" w:hAnsi="Times New Roman;Times;serif"/>
          <w:i/>
          <w:color w:val="000000"/>
          <w:sz w:val="20"/>
        </w:rPr>
        <w:t xml:space="preserve"> for the fiscal year ended December 31, 2025, and in “Item 2. Management’s Discussion and Analysis of Financial Condition and Results of Operations” in Part I of REFI’s Quarterly Report on </w:t>
      </w:r>
      <w:hyperlink r:id="rId18">
        <w:r>
          <w:rPr>
            <w:rStyle w:val="InternetLink"/>
          </w:rPr>
          <w:t>Form 10-Q</w:t>
        </w:r>
      </w:hyperlink>
      <w:r>
        <w:rPr>
          <w:rFonts w:ascii="Times New Roman;Times;serif" w:hAnsi="Times New Roman;Times;serif"/>
          <w:i/>
          <w:color w:val="000000"/>
          <w:sz w:val="20"/>
        </w:rPr>
        <w:t xml:space="preserve"> for the quarter ended March 31,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7966x1_n14_129-bus01_pg2"/>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5" w:name="tFHR"/>
      <w:bookmarkEnd w:id="205"/>
      <w:r>
        <w:rPr>
          <w:rFonts w:ascii="Times New Roman;Times;serif" w:hAnsi="Times New Roman;Times;serif"/>
          <w:b/>
          <w:color w:val="000000"/>
          <w:sz w:val="20"/>
        </w:rPr>
        <w:t xml:space="preserve">FINANCIAL HIGHLIGHTS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REFI has historically operated as a REIT and has not been subject to the financial highlights presentation requirements applicable to BDCs. REFI’s audited consolidated financial statements for the fiscal year ended December 31, 2025, and REFI’s unaudited consolidated financial statements for the three months ended March 31, 2026, are set forth in REFI’s Annual Report on </w:t>
      </w:r>
      <w:hyperlink r:id="rId19">
        <w:r>
          <w:rPr>
            <w:rStyle w:val="InternetLink"/>
          </w:rPr>
          <w:t>Form 10-K</w:t>
        </w:r>
      </w:hyperlink>
      <w:r>
        <w:rPr>
          <w:rFonts w:ascii="Times New Roman;Times;serif" w:hAnsi="Times New Roman;Times;serif"/>
          <w:i/>
          <w:color w:val="000000"/>
          <w:sz w:val="20"/>
        </w:rPr>
        <w:t xml:space="preserve"> for the fiscal year ended December 31, 2025 and REFI’s Quarterly Report on </w:t>
      </w:r>
      <w:hyperlink r:id="rId20">
        <w:r>
          <w:rPr>
            <w:rStyle w:val="InternetLink"/>
          </w:rPr>
          <w:t>Form 10-Q</w:t>
        </w:r>
      </w:hyperlink>
      <w:r>
        <w:rPr>
          <w:rFonts w:ascii="Times New Roman;Times;serif" w:hAnsi="Times New Roman;Times;serif"/>
          <w:i/>
          <w:color w:val="000000"/>
          <w:sz w:val="20"/>
        </w:rPr>
        <w:t xml:space="preserve"> for the quarter ended March 31, 2026, respectively, each of which is incorporated herein by reference. See “Business of REFI” and “Management’s Discussion and Analysis of Financial Condition and Results of Operations of REFI” for additional information regarding REFI’s historical financial performance.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77966x1_n14_130-mda01_pg1"/>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7" w:name="tMFC"/>
      <w:bookmarkEnd w:id="207"/>
      <w:r>
        <w:rPr>
          <w:rFonts w:ascii="Times New Roman;Times;serif" w:hAnsi="Times New Roman;Times;serif"/>
          <w:b/>
          <w:color w:val="000000"/>
          <w:sz w:val="20"/>
        </w:rPr>
        <w:t xml:space="preserve">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7. Management’s Discussion and Analysis of Financial Condition and Results of Operations” in Part II of REFI’s Annual Report on </w:t>
      </w:r>
      <w:hyperlink r:id="rId21">
        <w:r>
          <w:rPr>
            <w:rStyle w:val="InternetLink"/>
          </w:rPr>
          <w:t>Form 10-K</w:t>
        </w:r>
      </w:hyperlink>
      <w:r>
        <w:rPr>
          <w:rFonts w:ascii="Times New Roman;Times;serif" w:hAnsi="Times New Roman;Times;serif"/>
          <w:i/>
          <w:color w:val="000000"/>
          <w:sz w:val="20"/>
        </w:rPr>
        <w:t xml:space="preserve"> for the fiscal year ended December 31, 2025, and “Item 2. Management’s Discussion and Analysis of Financial Condition and Results of Operations” in Part I of REFI’s Quarterly Report on </w:t>
      </w:r>
      <w:hyperlink r:id="rId22">
        <w:r>
          <w:rPr>
            <w:rStyle w:val="InternetLink"/>
          </w:rPr>
          <w:t>Form 10-Q</w:t>
        </w:r>
      </w:hyperlink>
      <w:r>
        <w:rPr>
          <w:rFonts w:ascii="Times New Roman;Times;serif" w:hAnsi="Times New Roman;Times;serif"/>
          <w:i/>
          <w:color w:val="000000"/>
          <w:sz w:val="20"/>
        </w:rPr>
        <w:t xml:space="preserve"> for the quarter ended March 31,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7966x1_n14_131-securities01_pg1"/>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9" w:name="tSEN"/>
      <w:bookmarkEnd w:id="209"/>
      <w:r>
        <w:rPr>
          <w:rFonts w:ascii="Times New Roman;Times;serif" w:hAnsi="Times New Roman;Times;serif"/>
          <w:b/>
          <w:color w:val="000000"/>
          <w:sz w:val="20"/>
        </w:rPr>
        <w:t xml:space="preserve">SENIOR SECURITIES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Information about REFI’s senior securities is shown as of the dates indicated in the below table. This information about REFI’s senior securities should be read in conjunction with REFI’s audited consolidated financial statements and related notes thereto and “</w:t>
      </w:r>
      <w:r>
        <w:rPr>
          <w:rFonts w:ascii="Times New Roman;Times;serif" w:hAnsi="Times New Roman;Times;serif"/>
          <w:i/>
          <w:color w:val="000000"/>
          <w:sz w:val="20"/>
        </w:rPr>
        <w:t>Management’s Discussion and Analysis of Financial Condition and Results of Operations of REFI</w:t>
      </w:r>
      <w:r>
        <w:rPr>
          <w:rFonts w:ascii="Times New Roman;Times;serif" w:hAnsi="Times New Roman;Times;serif"/>
          <w:color w:val="000000"/>
          <w:sz w:val="20"/>
        </w:rPr>
        <w:t xml:space="preserve">”. The report of REFI’s independent registered public accounting firm on the senior securities table is attached as an exhibit to the registration statement of which this joint proxy statement/prospectus is a part. </w:t>
      </w:r>
    </w:p>
    <w:tbl>
      <w:tblPr>
        <w:tblW w:w="8735" w:type="dxa"/>
        <w:jc w:val="left"/>
        <w:tblInd w:w="0" w:type="dxa"/>
        <w:tblLayout w:type="fixed"/>
        <w:tblCellMar>
          <w:top w:w="0" w:type="dxa"/>
          <w:left w:w="0" w:type="dxa"/>
          <w:bottom w:w="0" w:type="dxa"/>
          <w:right w:w="0" w:type="dxa"/>
        </w:tblCellMar>
      </w:tblPr>
      <w:tblGrid>
        <w:gridCol w:w="2315"/>
        <w:gridCol w:w="140"/>
        <w:gridCol w:w="140"/>
        <w:gridCol w:w="2030"/>
        <w:gridCol w:w="140"/>
        <w:gridCol w:w="140"/>
        <w:gridCol w:w="1055"/>
        <w:gridCol w:w="140"/>
        <w:gridCol w:w="140"/>
        <w:gridCol w:w="1130"/>
        <w:gridCol w:w="140"/>
        <w:gridCol w:w="140"/>
        <w:gridCol w:w="1085"/>
      </w:tblGrid>
      <w:tr>
        <w:trPr/>
        <w:tc>
          <w:tcPr>
            <w:tcW w:w="23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23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Class and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Amount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Exclusive of Treasury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Securities(1) ($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Coverage per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Involuntary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Liquidating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Preference per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Unit(3)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Unit(4) </w:t>
            </w:r>
          </w:p>
        </w:tc>
      </w:tr>
      <w:tr>
        <w:trPr/>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Revolving Credit Facility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March 31, 2026 (unaudited)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March 31, 2026 (unaudited)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Senior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March 31, 2026 (unaudited)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$3,592.2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4,106.1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105.0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3,942.5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66.0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5,119.0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3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42" w:right="0" w:hanging="0"/>
              <w:jc w:val="left"/>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r>
      <w:tr>
        <w:trPr/>
        <w:tc>
          <w:tcPr>
            <w:tcW w:w="23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tbl>
      <w:tblPr>
        <w:tblW w:w="6745" w:type="dxa"/>
        <w:jc w:val="left"/>
        <w:tblInd w:w="0" w:type="dxa"/>
        <w:tblLayout w:type="fixed"/>
        <w:tblCellMar>
          <w:top w:w="0" w:type="dxa"/>
          <w:left w:w="0" w:type="dxa"/>
          <w:bottom w:w="0" w:type="dxa"/>
          <w:right w:w="0" w:type="dxa"/>
        </w:tblCellMar>
      </w:tblPr>
      <w:tblGrid>
        <w:gridCol w:w="230"/>
        <w:gridCol w:w="65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Total amount of each class of senior securities outstanding at the end of the period presented.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Asset coverage per unit is the ratio of the carrying value of REFI’s total assets, less all liabilities excluding indebtedness represented by senior securities in this table, so the aggregate amount of senior securities representing indebtedness. Asset coverage per unit is expressed in terms of dollar amounts per $1,000 of indebtedness and is calculated on a consolidated basis.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 to which such class of senior security would be entitled upon REFI's involuntary liquidation in preference to any security junior to it. The “-” in this column indicates information that the SEC expressly does not require to be disclosed for certain types of senior securities. </w:t>
            </w:r>
          </w:p>
        </w:tc>
      </w:tr>
    </w:tbl>
    <w:tbl>
      <w:tblPr>
        <w:tblW w:w="5800" w:type="dxa"/>
        <w:jc w:val="left"/>
        <w:tblInd w:w="0" w:type="dxa"/>
        <w:tblLayout w:type="fixed"/>
        <w:tblCellMar>
          <w:top w:w="0" w:type="dxa"/>
          <w:left w:w="0" w:type="dxa"/>
          <w:bottom w:w="0" w:type="dxa"/>
          <w:right w:w="0" w:type="dxa"/>
        </w:tblCellMar>
      </w:tblPr>
      <w:tblGrid>
        <w:gridCol w:w="230"/>
        <w:gridCol w:w="55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5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Not applicable because the senior securities are not registered for public trading.</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7966x1_n14_132-portfolio01_pg1"/>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211" w:name="tPCR"/>
      <w:bookmarkEnd w:id="211"/>
      <w:r>
        <w:rPr>
          <w:rFonts w:ascii="Times New Roman;Times;serif" w:hAnsi="Times New Roman;Times;serif"/>
          <w:b/>
          <w:color w:val="000000"/>
          <w:sz w:val="20"/>
        </w:rPr>
        <w:t xml:space="preserve">PORTFOLIO COMPANIES OF REFI </w:t>
      </w:r>
    </w:p>
    <w:p>
      <w:pPr>
        <w:pStyle w:val="TextBody"/>
        <w:bidi w:val="0"/>
        <w:spacing w:lineRule="auto" w:line="240" w:before="120" w:after="283"/>
        <w:ind w:left="10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each of the portfolio companies in which REFI had a debt or equity investment as of March 31, 2026.(1) REFI may receive observation or participation rights on its portfolio companies’ boards of directors. Other than these investments, REFI’s only relationships with its portfolio companies are the managerial assistance it may separately provide or any observation or participation rights it may receive, which would be ancillary to its investments. </w:t>
      </w:r>
    </w:p>
    <w:tbl>
      <w:tblPr>
        <w:tblW w:w="10205" w:type="dxa"/>
        <w:jc w:val="left"/>
        <w:tblInd w:w="0" w:type="dxa"/>
        <w:tblLayout w:type="fixed"/>
        <w:tblCellMar>
          <w:top w:w="0" w:type="dxa"/>
          <w:left w:w="0" w:type="dxa"/>
          <w:bottom w:w="0" w:type="dxa"/>
          <w:right w:w="0" w:type="dxa"/>
        </w:tblCellMar>
      </w:tblPr>
      <w:tblGrid>
        <w:gridCol w:w="1243"/>
        <w:gridCol w:w="140"/>
        <w:gridCol w:w="140"/>
        <w:gridCol w:w="1342"/>
        <w:gridCol w:w="140"/>
        <w:gridCol w:w="140"/>
        <w:gridCol w:w="560"/>
        <w:gridCol w:w="140"/>
        <w:gridCol w:w="140"/>
        <w:gridCol w:w="981"/>
        <w:gridCol w:w="140"/>
        <w:gridCol w:w="140"/>
        <w:gridCol w:w="857"/>
        <w:gridCol w:w="140"/>
        <w:gridCol w:w="140"/>
        <w:gridCol w:w="581"/>
        <w:gridCol w:w="140"/>
        <w:gridCol w:w="140"/>
        <w:gridCol w:w="575"/>
        <w:gridCol w:w="140"/>
        <w:gridCol w:w="140"/>
        <w:gridCol w:w="429"/>
        <w:gridCol w:w="140"/>
        <w:gridCol w:w="140"/>
        <w:gridCol w:w="429"/>
        <w:gridCol w:w="140"/>
        <w:gridCol w:w="140"/>
        <w:gridCol w:w="688"/>
      </w:tblGrid>
      <w:tr>
        <w:trPr/>
        <w:tc>
          <w:tcPr>
            <w:tcW w:w="12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left"/>
              <w:rPr/>
            </w:pPr>
            <w:r>
              <w:rPr/>
              <w:t> </w:t>
            </w:r>
          </w:p>
        </w:tc>
      </w:tr>
      <w:tr>
        <w:trPr/>
        <w:tc>
          <w:tcPr>
            <w:tcW w:w="1243"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Aeriz Holdings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351 West Hubbard Street, Suite 708 Chicago, IL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60654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12.75% (P + 5.75%; 7.00%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36,131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35,727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35,047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Assurfund Real Estate Two,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2780 S Jones Boulevard, Suite 200-3858 Las Vegas, NV 89146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revolver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 (F; 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6/12/2026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Assurfund Real Estate Two,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2780 S Jones Boulevard, Suite 200-3858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Las Vegas, NV 89146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revolver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 (F; 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6/12/2026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Battle Green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306 E Gay St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Columbus,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OH 43215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16.50% (P + 7.00%; 2.00% PIK;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10/31/2027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15,327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15,218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15,327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BeLeaf Medical,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6910 N. Holmes Street, Suite 380 Gladstone,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MO 64118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13.25% (P + 5.75%;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8/20/2028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11,398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11,261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 Hershey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Smiths Falls, Ontario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9.91% (S + 6.25%; 3.66%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1/31/2031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16,212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13,786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13,786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Canopy Growth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 Hershey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Smiths Falls, Ontario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Common C GP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1617 Pratt Ave.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Marshall, MI 49068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11.50% (P + 3.00%; 8.50%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25,213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Common C GP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1617 Pratt Ave.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Marshall, MI 49068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 (F; 10.00%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2,306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2,329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DRCN Holdings,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144 Heath Drive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Charles Town, WV 25414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(F; 12.00%)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Dreamfields Brands, Inc. (d/b/a Jeeter)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65000 Two Bunch Palms Trail Desert Hot Springs, CA 92240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16.25% (P + 8.75%; 7.50%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7,439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7,297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7,365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Dreamfields Brands, Inc. (d/b/a Jeeter)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65000 Two Bunch Palms Trail Desert Hot Springs, CA 92240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(F; 12.00%; 3.00%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9/30/2028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24,769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24,565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24,769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Eastern Investment Group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307 Nicodemus Road Reisterstown, MD 21136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11.91% (F; 11.91%)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5/29/2026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8,950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El Mirage - Optima Consulting Services,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9315 N El Mirage Road El Mirage, AZ 85335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11.91% (F; 11.91%)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6/17/2026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6,030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Elevation Cannabis,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6120 E. Connecticut Ave. Kansas City, MO 64120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16.25% (P + 7.75%; 8.50%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9,495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9,470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9,495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FarmaceuticalRX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2000 Harvey Ave,</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East Liverpool, OH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43920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13.75% (P + 1.75%; 5.00% PIK; 7.00%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47,756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47,756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48,754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Flowery - Bill’s Nursery,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30020 SW 205th Avenue Homestead, FL 33030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(F; 11.00%; 5.00%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21,199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21,167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20,987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5540 W. Executive Dr, Suite 100 Tampa, FL 33609 (Hillsborough County)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12.00%; 1.00% 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11/24/2028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17,007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16,784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16,837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FLUENT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5540 W. Executive Dr, Suite 100 Tampa, FL 33609 (Hillsborough County)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bridge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13.00% (F; 13.00% PIK)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1,678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Hive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2000 Northwestern Drive Coal Township, PA 17866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Second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9.00% (F; 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3/31/2028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14,497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Hive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2000 Northwestern Drive Coal Township, PA 17866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Second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9.00% (F; 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3/31/2028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14,577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 </w:t>
            </w:r>
          </w:p>
        </w:tc>
      </w:tr>
      <w:tr>
        <w:trPr/>
        <w:tc>
          <w:tcPr>
            <w:tcW w:w="124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Illicit - S1 Enterprises,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3823 N. Cobbler Road Independence, MO 64058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13.91% (S + 10.19%; 3.72%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12/31/2028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4,940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4,822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4,792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8" w:type="dxa"/>
            <w:tcBorders/>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Kapple Holdings LLC (Cannabis &amp; Glass)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PO Box 998 Dorado, PR 00646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14.25% (S + 10.25%; 4.00%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7/28/2028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697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center"/>
              <w:rPr>
                <w:color w:val="000000"/>
              </w:rPr>
            </w:pPr>
            <w:r>
              <w:rPr>
                <w:color w:val="000000"/>
              </w:rPr>
              <w:t> </w:t>
            </w:r>
          </w:p>
        </w:tc>
      </w:tr>
      <w:tr>
        <w:trPr/>
        <w:tc>
          <w:tcPr>
            <w:tcW w:w="124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77966x1_n14_132-portfolio01_pg2"/>
        <w:bookmarkEnd w:id="2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55"/>
        <w:gridCol w:w="140"/>
        <w:gridCol w:w="140"/>
        <w:gridCol w:w="1267"/>
        <w:gridCol w:w="140"/>
        <w:gridCol w:w="140"/>
        <w:gridCol w:w="560"/>
        <w:gridCol w:w="140"/>
        <w:gridCol w:w="140"/>
        <w:gridCol w:w="1023"/>
        <w:gridCol w:w="140"/>
        <w:gridCol w:w="140"/>
        <w:gridCol w:w="835"/>
        <w:gridCol w:w="140"/>
        <w:gridCol w:w="140"/>
        <w:gridCol w:w="572"/>
        <w:gridCol w:w="140"/>
        <w:gridCol w:w="140"/>
        <w:gridCol w:w="575"/>
        <w:gridCol w:w="140"/>
        <w:gridCol w:w="140"/>
        <w:gridCol w:w="504"/>
        <w:gridCol w:w="140"/>
        <w:gridCol w:w="140"/>
        <w:gridCol w:w="504"/>
        <w:gridCol w:w="140"/>
        <w:gridCol w:w="140"/>
        <w:gridCol w:w="690"/>
      </w:tblGrid>
      <w:tr>
        <w:trPr/>
        <w:tc>
          <w:tcPr>
            <w:tcW w:w="1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r>
      <w:tr>
        <w:trPr/>
        <w:tc>
          <w:tcPr>
            <w:tcW w:w="115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Issuer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7"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Industry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Instrument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bottom w:val="single" w:sz="8" w:space="0" w:color="000000"/>
            </w:tcBorders>
            <w:tcMar>
              <w:bottom w:w="53" w:type="dxa"/>
            </w:tcMar>
            <w:vAlign w:val="center"/>
          </w:tcPr>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All in Rate(2)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Tickmarks </w:t>
            </w:r>
          </w:p>
        </w:tc>
      </w:tr>
      <w:tr>
        <w:trPr/>
        <w:tc>
          <w:tcPr>
            <w:tcW w:w="1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Monster Holdings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1255 Falahee Rd. Jackson, MI 49203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(P + 6.50%; 8.50%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1/30/2026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3,156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2,879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 </w:t>
            </w:r>
          </w:p>
        </w:tc>
      </w:tr>
      <w:tr>
        <w:trPr/>
        <w:tc>
          <w:tcPr>
            <w:tcW w:w="115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New York Social Equity Cannabis Investment Fund,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 Wall Street, 18th Floor New York, NY 10005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15.00% (F; 15.00%)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6/29/2036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21,312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21,312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21,312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Oasis - AZ GOAT AZ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6501 E. Greenway Pkwy, Suite 103 #486 Scottsdale, AZ 85254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15.50% (P + 7.50%; 8.00%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3/31/2027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1,307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15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Revolution Global Health,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1200 N. North Branch Street, 2nd Floor Chicago, IL 60642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13.75% (P + 6.25%; 7.50% Floor)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26,607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Subsero Holdings - Illinois,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1000 S Old Woodward Avenue, Suite 105 Birmingham, MI 48009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delayed draw term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16.00% (P + 7.00%; 2.00% PIK; 7.00%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7/29/2026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6,427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6,421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6,684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0"/>
              <w:jc w:val="center"/>
              <w:rPr>
                <w:color w:val="000000"/>
              </w:rPr>
            </w:pPr>
            <w:r>
              <w:rPr>
                <w:color w:val="000000"/>
              </w:rPr>
              <w:t> </w:t>
            </w:r>
          </w:p>
        </w:tc>
      </w:tr>
      <w:tr>
        <w:trPr/>
        <w:tc>
          <w:tcPr>
            <w:tcW w:w="115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TheraTrue,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4062 Peachtree Road SE, Suite A300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Atlanta, GA 30319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term loan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14.50% (F; 14.50%)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3/13/2027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Verano Holdings 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224 W. Hill Street,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Suite 400 </w:t>
            </w:r>
          </w:p>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Chicago, IL 60610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Cannabis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First lien senior secured revolver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10.88% (S + 6.88%; 4.00% Floor)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2/28/2029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53,333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53,052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53,067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Total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413,590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410,565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406,940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center"/>
              <w:rPr>
                <w:color w:val="000000"/>
              </w:rPr>
            </w:pPr>
            <w:r>
              <w:rPr>
                <w:color w:val="000000"/>
              </w:rPr>
              <w:t> </w:t>
            </w:r>
          </w:p>
        </w:tc>
      </w:tr>
      <w:tr>
        <w:trPr/>
        <w:tc>
          <w:tcPr>
            <w:tcW w:w="1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65"/>
        <w:gridCol w:w="9440"/>
      </w:tblGrid>
      <w:tr>
        <w:trPr/>
        <w:tc>
          <w:tcPr>
            <w:tcW w:w="1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4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are presented in thousands. The table above does not reflect the impact of the Koach Transaction, which was completed on July 9, 2026. </w:t>
            </w:r>
          </w:p>
        </w:tc>
      </w:tr>
    </w:tbl>
    <w:tbl>
      <w:tblPr>
        <w:tblW w:w="9605" w:type="dxa"/>
        <w:jc w:val="left"/>
        <w:tblInd w:w="600" w:type="dxa"/>
        <w:tblLayout w:type="fixed"/>
        <w:tblCellMar>
          <w:top w:w="0" w:type="dxa"/>
          <w:left w:w="0" w:type="dxa"/>
          <w:bottom w:w="0" w:type="dxa"/>
          <w:right w:w="0" w:type="dxa"/>
        </w:tblCellMar>
      </w:tblPr>
      <w:tblGrid>
        <w:gridCol w:w="118"/>
        <w:gridCol w:w="9487"/>
      </w:tblGrid>
      <w:tr>
        <w:trPr/>
        <w:tc>
          <w:tcPr>
            <w:tcW w:w="1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March 31, 2026, rates for 1M S, 3M S and 6M S are 3.65%, 3.68%, and 3.86%, respectively. As of March 31, 2026, the P was 6.75%. Loans identified as “F” pay interest at the fixed rate listed in the table. Payment-in-kind component of interest is identified as “PIK.” </w:t>
            </w:r>
          </w:p>
        </w:tc>
      </w:tr>
    </w:tbl>
    <w:tbl>
      <w:tblPr>
        <w:tblW w:w="4960" w:type="dxa"/>
        <w:jc w:val="left"/>
        <w:tblInd w:w="600" w:type="dxa"/>
        <w:tblLayout w:type="fixed"/>
        <w:tblCellMar>
          <w:top w:w="0" w:type="dxa"/>
          <w:left w:w="0" w:type="dxa"/>
          <w:bottom w:w="0" w:type="dxa"/>
          <w:right w:w="0" w:type="dxa"/>
        </w:tblCellMar>
      </w:tblPr>
      <w:tblGrid>
        <w:gridCol w:w="170"/>
        <w:gridCol w:w="4790"/>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7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an investment on non-accrual status as of March 31, 2026. </w:t>
            </w:r>
          </w:p>
        </w:tc>
      </w:tr>
    </w:tbl>
    <w:tbl>
      <w:tblPr>
        <w:tblW w:w="9605" w:type="dxa"/>
        <w:jc w:val="left"/>
        <w:tblInd w:w="600" w:type="dxa"/>
        <w:tblLayout w:type="fixed"/>
        <w:tblCellMar>
          <w:top w:w="0" w:type="dxa"/>
          <w:left w:w="0" w:type="dxa"/>
          <w:bottom w:w="0" w:type="dxa"/>
          <w:right w:w="0" w:type="dxa"/>
        </w:tblCellMar>
      </w:tblPr>
      <w:tblGrid>
        <w:gridCol w:w="132"/>
        <w:gridCol w:w="9473"/>
      </w:tblGrid>
      <w:tr>
        <w:trPr/>
        <w:tc>
          <w:tcPr>
            <w:tcW w:w="1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47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disclosed in REFI’s Quarterly Report on Form 10-Q for the quarter ended March 31, 2026, the following borrowers are related parties of REFI because certain common control affiliates of REFI can exercise significant influence over certain credit parties to the loan agreement by virtue of voting representation on its board of managers. </w:t>
            </w:r>
          </w:p>
        </w:tc>
      </w:tr>
    </w:tbl>
    <w:tbl>
      <w:tblPr>
        <w:tblW w:w="9605" w:type="dxa"/>
        <w:jc w:val="left"/>
        <w:tblInd w:w="600" w:type="dxa"/>
        <w:tblLayout w:type="fixed"/>
        <w:tblCellMar>
          <w:top w:w="0" w:type="dxa"/>
          <w:left w:w="0" w:type="dxa"/>
          <w:bottom w:w="0" w:type="dxa"/>
          <w:right w:w="0" w:type="dxa"/>
        </w:tblCellMar>
      </w:tblPr>
      <w:tblGrid>
        <w:gridCol w:w="137"/>
        <w:gridCol w:w="9468"/>
      </w:tblGrid>
      <w:tr>
        <w:trPr/>
        <w:tc>
          <w:tcPr>
            <w:tcW w:w="1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4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disclosed in REFI’s Quarterly Report on Form 10-Q for the quarter ended March 31, 2026, the following remains a related-party loan because an affiliated co-lender owns the membership interests of the original borrower credit parties following a foreclosure completed in 2025. </w:t>
            </w:r>
          </w:p>
        </w:tc>
      </w:tr>
    </w:tbl>
    <w:tbl>
      <w:tblPr>
        <w:tblW w:w="5005" w:type="dxa"/>
        <w:jc w:val="left"/>
        <w:tblInd w:w="600" w:type="dxa"/>
        <w:tblLayout w:type="fixed"/>
        <w:tblCellMar>
          <w:top w:w="0" w:type="dxa"/>
          <w:left w:w="0" w:type="dxa"/>
          <w:bottom w:w="0" w:type="dxa"/>
          <w:right w:w="0" w:type="dxa"/>
        </w:tblCellMar>
      </w:tblPr>
      <w:tblGrid>
        <w:gridCol w:w="170"/>
        <w:gridCol w:w="4835"/>
      </w:tblGrid>
      <w:tr>
        <w:trPr/>
        <w:tc>
          <w:tcPr>
            <w:tcW w:w="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8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 non-income producing investment as of March 31, 2026.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7966x1_n14_133-agreement01_pg1"/>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4" w:name="tMAR"/>
      <w:bookmarkEnd w:id="214"/>
      <w:r>
        <w:rPr>
          <w:rFonts w:ascii="Times New Roman;Times;serif" w:hAnsi="Times New Roman;Times;serif"/>
          <w:b/>
          <w:color w:val="000000"/>
          <w:sz w:val="20"/>
        </w:rPr>
        <w:t xml:space="preserve">MANAGEMENT AGREEMENTS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Our Manager” in Part I of REFI’s Annual Report on </w:t>
      </w:r>
      <w:hyperlink r:id="rId23">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7966x1_n14_134-certain01_pg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6" w:name="tCRR"/>
      <w:bookmarkEnd w:id="216"/>
      <w:r>
        <w:rPr>
          <w:rFonts w:ascii="Times New Roman;Times;serif" w:hAnsi="Times New Roman;Times;serif"/>
          <w:b/>
          <w:color w:val="000000"/>
          <w:sz w:val="20"/>
        </w:rPr>
        <w:t xml:space="preserve">CERTAIN RELATIONSHIPS AND RELATED PARTY TRANSACTIONS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“Related Party Transactions and Certain Relationships” in REFI’s most recent definitive proxy statement on </w:t>
      </w:r>
      <w:hyperlink r:id="rId24">
        <w:r>
          <w:rPr>
            <w:rStyle w:val="InternetLink"/>
          </w:rPr>
          <w:t>Schedule 14A</w:t>
        </w:r>
      </w:hyperlink>
      <w:r>
        <w:rPr>
          <w:rFonts w:ascii="Times New Roman;Times;serif" w:hAnsi="Times New Roman;Times;serif"/>
          <w:i/>
          <w:color w:val="000000"/>
          <w:sz w:val="20"/>
        </w:rPr>
        <w:t>, filed with the SEC on April 23, 2026, is incorporated herein by reference.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Members of the REFI Special Committee will receive a fixed cash fee of $50,000, payable in two installments, in recognition of the additional time and responsibilities associated with serving on the REFI Special Committee. This fee is in addition to the compensation payable to REFI Independent Directors for their regular REFI Board and committee service and is not contingent upon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7966x1_n14_135-shareholders01_pg1"/>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8" w:name="tCPP"/>
      <w:bookmarkEnd w:id="218"/>
      <w:r>
        <w:rPr>
          <w:rFonts w:ascii="Times New Roman;Times;serif" w:hAnsi="Times New Roman;Times;serif"/>
          <w:b/>
          <w:color w:val="000000"/>
          <w:sz w:val="20"/>
        </w:rPr>
        <w:t xml:space="preserve">CONTROL PERSONS AND PRINCIPAL SHAREHOLDERS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July 22, 2026, the beneficial ownership information of each current REFI director, as well as REFI’s executive officers, each person known to it to beneficially own 5% or more of the outstanding shares of REFI Common Stock, and the REFI executive officers and directors as a group. Percentage of beneficial ownership is based on 25,621,146 shares of REFI Common Stock outstanding as of July 22,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the securities.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the beneficial ownership according to information furnished to REFI by such persons or publicly available filings. Ownership information for those persons who beneficially own 5% or more of the outstanding shares of REFI Common Stock is based upon filings by such persons with the SEC and other information obtained from such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REFI’s knowledge, except as indicated in the footnotes to the table, each of the shareholders listed below has sole voting and/or investment power with respect to shares of REFI Common Stock beneficially owned by such REFI Shareholder. The address of all REFI executive officers and directors is c/o Chicago Atlantic Real Estate Finance, Inc., 420 N. Wabash Avenue, Suite 500, Chicago, IL 60611. </w:t>
      </w:r>
    </w:p>
    <w:tbl>
      <w:tblPr>
        <w:tblW w:w="9650" w:type="dxa"/>
        <w:jc w:val="left"/>
        <w:tblInd w:w="0" w:type="dxa"/>
        <w:tblLayout w:type="fixed"/>
        <w:tblCellMar>
          <w:top w:w="0" w:type="dxa"/>
          <w:left w:w="0" w:type="dxa"/>
          <w:bottom w:w="0" w:type="dxa"/>
          <w:right w:w="0" w:type="dxa"/>
        </w:tblCellMar>
      </w:tblPr>
      <w:tblGrid>
        <w:gridCol w:w="5030"/>
        <w:gridCol w:w="140"/>
        <w:gridCol w:w="140"/>
        <w:gridCol w:w="1175"/>
        <w:gridCol w:w="140"/>
        <w:gridCol w:w="140"/>
        <w:gridCol w:w="1130"/>
        <w:gridCol w:w="140"/>
        <w:gridCol w:w="140"/>
        <w:gridCol w:w="1475"/>
      </w:tblGrid>
      <w:tr>
        <w:trPr/>
        <w:tc>
          <w:tcPr>
            <w:tcW w:w="5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03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REFI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REFI</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 of LIEN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1,300,365(10)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490,230</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421,706</w:t>
            </w:r>
            <w:r>
              <w:rPr>
                <w:rFonts w:ascii="Times New Roman;Times;serif" w:hAnsi="Times New Roman;Times;serif"/>
                <w:color w:val="000000"/>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Independent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Jason Papastavrou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63,870</w:t>
            </w: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Konigsberg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33,870</w:t>
            </w: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Stavola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6,324</w:t>
            </w: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118,356</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Phillip Silverman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71,516</w:t>
            </w:r>
            <w:r>
              <w:rPr>
                <w:rFonts w:ascii="Times New Roman;Times;serif" w:hAnsi="Times New Roman;Times;serif"/>
                <w:color w:val="000000"/>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lineRule="auto" w:line="240"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96,615</w:t>
            </w:r>
            <w:r>
              <w:rPr>
                <w:rFonts w:ascii="Times New Roman;Times;serif" w:hAnsi="Times New Roman;Times;serif"/>
                <w:color w:val="000000"/>
                <w:sz w:val="20"/>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Executive Officers and Directors as a Group (8 persons)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1,302,487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02"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56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Less than 1% </w:t>
      </w:r>
    </w:p>
    <w:tbl>
      <w:tblPr>
        <w:tblW w:w="7165" w:type="dxa"/>
        <w:jc w:val="left"/>
        <w:tblInd w:w="0" w:type="dxa"/>
        <w:tblLayout w:type="fixed"/>
        <w:tblCellMar>
          <w:top w:w="0" w:type="dxa"/>
          <w:left w:w="0" w:type="dxa"/>
          <w:bottom w:w="0" w:type="dxa"/>
          <w:right w:w="0" w:type="dxa"/>
        </w:tblCellMar>
      </w:tblPr>
      <w:tblGrid>
        <w:gridCol w:w="230"/>
        <w:gridCol w:w="69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13d-3 under the Exchange Act. </w:t>
            </w:r>
          </w:p>
        </w:tc>
      </w:tr>
    </w:tbl>
    <w:tbl>
      <w:tblPr>
        <w:tblW w:w="7675" w:type="dxa"/>
        <w:jc w:val="left"/>
        <w:tblInd w:w="0" w:type="dxa"/>
        <w:tblLayout w:type="fixed"/>
        <w:tblCellMar>
          <w:top w:w="0" w:type="dxa"/>
          <w:left w:w="0" w:type="dxa"/>
          <w:bottom w:w="0" w:type="dxa"/>
          <w:right w:w="0" w:type="dxa"/>
        </w:tblCellMar>
      </w:tblPr>
      <w:tblGrid>
        <w:gridCol w:w="230"/>
        <w:gridCol w:w="74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4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total of 25,621,146 shares of REFI Common Stock issued and outstanding as of July 22, 2026.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453,706 shares of REFI Common Stock held directly, 5,000 shares of REFI Common Stock held by spouse and 31,524 shares of REFI Common Stock held through ownership of interests in Joppa Seasoning, LLC, of which Mr. Mazarakis owns a 25% interest. Includes 194,252 restricted shares of REFI Common Stock awarded under the REFI Incentive Plan in separate grants in the amounts of 85,100 shares of REFI Common Stock, 43,655 shares of REFI Common Stock,28,398 shares of REFI Common Stock, and 37,099 shares of REFI Common Stock granted on June 1, 2023, April 1, 2024 April 1, 2025, and April 20, 2026, respectively. Pursuant to the terms of the award agreements, such shares of REFI Common Stock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227,454 shares of REFI Common Stock held directly and 194,252 restricted shares of REFI Common Stock awarded under the REFI Incentive Plan in separate grants in the amounts of 85,100 shares of REFI Common Stock, 43,655 shares of REFI Common Stock, 28,398 shares of REFI Common Stock, and 37,099 shares of REFI Common Stock granted on June 1, 2023, April 1, 2024 April 1, 2025, and April 20, 2026, respectively. Pursuant to the terms of the award agreements, such shares of REFI Common Stock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10,846 shares of REFI Common Stock held directly and 107,510 restricted shares of REFI Common Stock awarded under the REFI Incentive Plan in separate grants in the amounts of 3,125 shares of REFI Common Stock, 27,500 shares of REFI Common Stock, 11,388 shares of REFI Common Stock, 28,398 shares of REFI Common Stock and 37,099 shares of REFI Common Stock granted on December 10, 2021, June 1, 2023, April 1, 2024, April 1, 2025 and April 20, 2026, respectively. Pursuant to the terms of the award agreement governing the 3,125 restricted shares of REFI Common Stock, as amended, such shares of REFI Common Stock will vest over a three-year period, with one-third of the restricted stock having vested after 12 months, one-eighth having vested after the quarter ended March 31, 2023, and one-eighth vesting on a quarterly basis thereafter. Pursuant to the terms of the award agreements governing the 27,500, 11,388 and 28,398 restricted shares of REFI Common Stock, such shares of REFI Common Stock will vest over a three-year period, with one-third of the restricted stock vesting after 12 months, 24 months and 36 months, respectively.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7966x1_n14_135-shareholders01_pg2"/>
        <w:bookmarkEnd w:id="2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38,000 shares of REFI Common Stock held directly of which 20,000 shares of REFI Common Stock are held through separate trusts for non-family beneficiaries of which Dr. Papastavrou serves as trustee.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25,870 restricted shares of REFI Common Stock awarded under the REFI Incentive Plan in separate grants in the amounts of 4,688 shares of REFI Common Stock, 4,976 shares of REFI Common Stock, 4,811 shares of REFI Common Stock, 5,071 shares of REFI Common Stock and 6,324 shares of REFI Common Stock granted on December 10, 2021, December 31, 2022, April 1, 2024, April 1, 2025 and April 20, 2026, respectively. Pursuant to the terms of the award agreement governing the 4,688 restricted shares of REFI Common Stock, as amended, such shares of REFI Common Stock will vest over a three-year period, with one-third of the restricted stock having vested after 12 months, one-eighth having vested after the quarter ended March 31, 2023, and one-eighth vesting on a quarterly basis thereafter. Pursuant to the terms of the award agreement governing the 4,976 restricted shares of REFI Common Stock, such shares of REFI Common Stock will vest over a three-year period, with one-third of the restricted stock vesting after 12 months, 24 months and 36 months, respectively. Pursuant to the terms of the award agreements governing the 4,811, 5,071 and 6,324 restricted shares of REFI Common Stock, such shares of REFI Common Stock will vest over a one-year period.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3,469 shares of REFI Common Stock held directly and 68,047 restricted shares of REFI Common Stock awarded under the REFI Incentive Plan in separate grants in the amounts of 9,375 shares of REFI Common Stock, 11,500 shares of REFI Common Stock, 5,717 shares of REFI Common Stock, 8,933 shares of REFI Common Stock and 32,462 shares of REFI Common Stock granted on December 10, 2021, June 1, 2023, April 1, 2024, April 1, 2025 and April 20, 2026, respectively. Pursuant to the terms of the award agreement governing the 9,375 restricted shares of REFI Common Stock, as amended, such shares of REFI Common Stock will vest over a three-year period, with one-third of the restricted stock having vested after 12 months, one-eighth having vested after the quarter ended March 31, 2023, and one-eighth vesting on a quarterly basis thereafter. Pursuant to the terms of the award agreements governing the 11,500, 5,717 and 8,933 restricted shares of REFI Common Stock, such shares of REFI Common Stock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20,358 shares of REFI Common Stock held directly and 76,257 restricted shares of REFI Common Stock awarded under the REFI Incentive Plan in separate grants in the amounts of 3,125 shares of REFI Common Stock, 5,100 shares of REFI Common Stock, 2,535 shares of REFI Common Stock, 28,398 shares of REFI Common Stock and 37,099 shares of REFI Common Stock granted on December 10, 2021, June 1, 2023, April 1, 2024, April 1, 2025 and April 20, 2026, respectively. Pursuant to the terms of the award agreement governing the 3,125 restricted shares of REFI Common Stock, as amended, such shares will vest over a three-year period, with one-third of the restricted stock having vested after 12 months, one-eighth having vested after the quarter ended March 31, 2023, and one-eighth vesting on a quarterly basis thereafter. Pursuant to the terms of the award agreements governing the 5,100, 2,535 and 28,398 restricted shares of REFI Common Stock, such shares will vest over a three-year period, with one-third of the restricted stock vesting after 12 months, 24 months and 36 months, respectively.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Beneficial ownership information is as of December 31, 2023, and is based on information reported on a Schedule 13G filed by Blackrock, Inc. with the SEC on January 26, 2024. The schedule indicates that Blackrock, Inc. has sole voting power over 1,300,365 shares of REFI Common Stock and sole dispositive power over 1,319,746 shares of REFI Common Stock. The business address of Blackrock, Inc. is 50 Hudson Yards, New York, New York 10001.</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6,324 shares of REFI Common Stock awarded under the REFI Incentive Plan on April 20, 2026. The 6,324 shares vested over a one-year period.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July 22, 2026, the dollar range of REFI’s equity securities that is beneficially owned by each of the current directors of REFI as one of the following dollar ranges: None; $1 - $10,000; $10,001 - $50,000; $50,001 - $100,000; or Over $100,000: </w:t>
      </w:r>
    </w:p>
    <w:tbl>
      <w:tblPr>
        <w:tblW w:w="3995" w:type="dxa"/>
        <w:jc w:val="left"/>
        <w:tblInd w:w="0" w:type="dxa"/>
        <w:tblLayout w:type="fixed"/>
        <w:tblCellMar>
          <w:top w:w="0" w:type="dxa"/>
          <w:left w:w="0" w:type="dxa"/>
          <w:bottom w:w="0" w:type="dxa"/>
          <w:right w:w="0" w:type="dxa"/>
        </w:tblCellMar>
      </w:tblPr>
      <w:tblGrid>
        <w:gridCol w:w="1940"/>
        <w:gridCol w:w="140"/>
        <w:gridCol w:w="140"/>
        <w:gridCol w:w="1775"/>
      </w:tblGrid>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in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REFI(1)(2)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Interested 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center"/>
              <w:rPr>
                <w:color w:val="000000"/>
              </w:rPr>
            </w:pPr>
            <w:r>
              <w:rPr>
                <w:color w:val="000000"/>
              </w:rPr>
              <w:t>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Independent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center"/>
              <w:rPr>
                <w:color w:val="000000"/>
              </w:rPr>
            </w:pPr>
            <w:r>
              <w:rPr>
                <w:color w:val="000000"/>
              </w:rPr>
              <w:t>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Jason Papastavrou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Konigsberg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Stavola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Over $100,000</w:t>
            </w:r>
          </w:p>
        </w:tc>
      </w:tr>
      <w:tr>
        <w:trPr/>
        <w:tc>
          <w:tcPr>
            <w:tcW w:w="1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left"/>
              <w:rPr/>
            </w:pPr>
            <w:r>
              <w:rPr/>
              <w:t> </w:t>
            </w:r>
          </w:p>
        </w:tc>
      </w:tr>
    </w:tbl>
    <w:tbl>
      <w:tblPr>
        <w:tblW w:w="7300" w:type="dxa"/>
        <w:jc w:val="left"/>
        <w:tblInd w:w="0" w:type="dxa"/>
        <w:tblLayout w:type="fixed"/>
        <w:tblCellMar>
          <w:top w:w="0" w:type="dxa"/>
          <w:left w:w="0" w:type="dxa"/>
          <w:bottom w:w="0" w:type="dxa"/>
          <w:right w:w="0" w:type="dxa"/>
        </w:tblCellMar>
      </w:tblPr>
      <w:tblGrid>
        <w:gridCol w:w="230"/>
        <w:gridCol w:w="70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of the Exchange Act.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REFI beneficially owned by directors of REFI, if applicable, is calculated by multiplying the closing price per share of REFI Common Stock on the REFI Record Date on the NASDAQ, by the number of shares of REFI Common Stock beneficially owned.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77966x1_n14_136-management02_pg1"/>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1" w:name="tMOR"/>
      <w:bookmarkEnd w:id="221"/>
      <w:r>
        <w:rPr>
          <w:rFonts w:ascii="Times New Roman;Times;serif" w:hAnsi="Times New Roman;Times;serif"/>
          <w:b/>
          <w:color w:val="000000"/>
          <w:sz w:val="20"/>
        </w:rPr>
        <w:t xml:space="preserve">MANAGEMENT OF REFI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“Proposal 1: Election of Directors”, “Corporate Governance”, “Compensation of Directors” and “Compensation of Our Executive Officers” in REFI’s most recent definitive proxy statement on </w:t>
      </w:r>
      <w:hyperlink r:id="rId25">
        <w:r>
          <w:rPr>
            <w:rStyle w:val="InternetLink"/>
          </w:rPr>
          <w:t>Schedule 14A</w:t>
        </w:r>
      </w:hyperlink>
      <w:r>
        <w:rPr>
          <w:rFonts w:ascii="Times New Roman;Times;serif" w:hAnsi="Times New Roman;Times;serif"/>
          <w:i/>
          <w:color w:val="000000"/>
          <w:sz w:val="20"/>
        </w:rPr>
        <w:t>, filed with the SEC on April 23, 2026, is incorporated herein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77966x1_n14_136-management02_pg2"/>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3" w:name="tPMR"/>
      <w:bookmarkEnd w:id="223"/>
      <w:r>
        <w:rPr>
          <w:rFonts w:ascii="Times New Roman;Times;serif" w:hAnsi="Times New Roman;Times;serif"/>
          <w:b/>
          <w:color w:val="000000"/>
          <w:sz w:val="20"/>
        </w:rPr>
        <w:t xml:space="preserve">PORTFOLIO MANAGEMENT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is externally managed by REFI Manager pursuant to the terms of the REFI Management Agreement. All of REFI’s investment decisions are made by the REFI Manager Investment Committee, subject to oversight by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REFI’s primary investment objective is to provide attractive, risk-adjusted returns for shareholders over time primarily through consistent current income dividends and other distributions and secondarily through capital appreciation. REFI seeks to achieve this objective by originating, structuring and investing in first mortgage loans and alternative structured financings secured by commercial real estate properties. REFI’s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Manager seeks to originate real estate mortgage loans between $5 million and $200 million, generally with one- to five-year terms and often include required amortization payments throughout the term of the loan. REFI generally acts as a co-lender in such transactions and intends to hold up to $50 million of the aggregate loan amount, with the remainder to be held by affiliates or third party co-investors. Other investment vehicles managed by REFI Manager or affiliates of REFI Manager, including LIEN, may co-invest with REFI or hold positions in a loan that REFI has also invested in, including by means of allocating commitments, participating in loans or other means of syndicating loans. REFI generally will not engage in a co-investment transaction with an affiliate where the affiliate has a senior position to the loan held by REFI. To the extent that an affiliate provides financing to one of REFI’s borrowers, such loans will be working capital loans or loans that are subordinate to REFI loans. REFI may also serve as co-lenders in loans originated by third parties and REFI may also acquire loans or loan participations.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REFI’s senior management team is provided by REFI Manager and includes John Mazarakis, Executive Chairman, Anthony Cappell, Co-Chief Executive Officer, Peter Sack, Co-Chief Executive Officer, David Kite, President and Chief Operating Officer, and Phil Silverman, Chief Financial Officer. REFI Manager is supported by additional investment professionals with significant expertise in executing REFI’s investment strategy and accounting, operational, compliance and legal professionals.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Manager Investment Committee, which is comprised of John Mazarakis, Anthony Cappell, Peter Sack and David Kite, advises and consults with REFI Manager and its investment professionals with respect to REFI’s investment strategy, portfolio construction, financing, investment guidelines, and risk management, and approves all of REFI’s investments. The investment professionals of REFI Manager have over 100 years of combined experience in private credit, real estate lending, retail, real estate acquisitions and development, investment advice, risk management, and consulting. Collectively, the investment professionals have originated, underwritten, structured, documented, managed, or syndicated over $8.0 billion in credit and real estate transactions during their careers, which includes loans to cannabis operators, loans to companies engaged in activities unrelated to cannabis, as well as commercial real estate loans. The depth and breadth of the management and investment team allows REFI Manager to address all facets of REFI’s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REFI Management Agreement, REFI Manager manages the REFI loan portfolio and REFI’s day-to-day operations, subject at all times to the further terms and conditions set forth in the REFI Management Agreement and such further limitations or parameters as may be imposed from time to time by the REFI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Management Agreement had a three-year initial term that expired on April 30, 2024. After the initial term, the REFI Management Agreement automatically renews for one-year periods unless REFI or REFI Manager elects not to renew in accordance with the terms of the REFI Management Agreement. On April 30, 2026, the REFI Management Agreement was automatically renewed and will continue in effect until the BDC Election Time. </w:t>
      </w:r>
    </w:p>
    <w:p>
      <w:pPr>
        <w:pStyle w:val="TextBody"/>
        <w:bidi w:val="0"/>
        <w:spacing w:before="120" w:after="283"/>
        <w:ind w:left="0" w:right="0" w:firstLine="400"/>
        <w:jc w:val="both"/>
        <w:rPr/>
      </w:pPr>
      <w:r>
        <w:rPr>
          <w:rFonts w:ascii="Times New Roman;Times;serif" w:hAnsi="Times New Roman;Times;serif"/>
          <w:color w:val="000000"/>
          <w:sz w:val="20"/>
        </w:rPr>
        <w:t xml:space="preserve">For additional information regarding REFI’s investment processes, see the information provided in “Investment Processes” included in “Item 1. Business” in Part I of REFI’s Annual Report on </w:t>
      </w:r>
      <w:hyperlink r:id="rId26">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which is incorporated herein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packages of the REFI Manager Investment Committee members from REFI Manager include an annual base salary and an annual individual performance bonus. None of REFI Manager’s investment professionals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77966x1_n14_136-management02_pg3"/>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receive any direct compensation from REFI in connection with the management of REFI’s portfolio. The members of the REFI Manager Investment Committee function as portfolio managers with the most significant responsibility for the day-to-day management of REFI’s portfolio. Information regarding the REFI Manager Investment Committee, is as follows: </w:t>
      </w:r>
    </w:p>
    <w:tbl>
      <w:tblPr>
        <w:tblW w:w="2780" w:type="dxa"/>
        <w:jc w:val="left"/>
        <w:tblInd w:w="0" w:type="dxa"/>
        <w:tblLayout w:type="fixed"/>
        <w:tblCellMar>
          <w:top w:w="0" w:type="dxa"/>
          <w:left w:w="0" w:type="dxa"/>
          <w:bottom w:w="0" w:type="dxa"/>
          <w:right w:w="0" w:type="dxa"/>
        </w:tblCellMar>
      </w:tblPr>
      <w:tblGrid>
        <w:gridCol w:w="1445"/>
        <w:gridCol w:w="140"/>
        <w:gridCol w:w="140"/>
        <w:gridCol w:w="1055"/>
      </w:tblGrid>
      <w:tr>
        <w:trPr/>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14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of Birth </w:t>
            </w:r>
          </w:p>
        </w:tc>
      </w:tr>
      <w:tr>
        <w:trPr/>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1976 </w:t>
            </w:r>
          </w:p>
        </w:tc>
      </w:tr>
      <w:tr>
        <w:trPr/>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1983 </w:t>
            </w:r>
          </w:p>
        </w:tc>
      </w:tr>
      <w:tr>
        <w:trPr/>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1989 </w:t>
            </w:r>
          </w:p>
        </w:tc>
      </w:tr>
      <w:tr>
        <w:trPr/>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1971</w:t>
            </w:r>
          </w:p>
        </w:tc>
      </w:tr>
      <w:tr>
        <w:trPr/>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Below is biographical information for each of the members of the REFI Manager Investment Committee named above.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John Mazarakis </w:t>
      </w:r>
      <w:r>
        <w:rPr>
          <w:rFonts w:ascii="Times New Roman;Times;serif" w:hAnsi="Times New Roman;Times;serif"/>
          <w:b w:val="false"/>
          <w:i w:val="false"/>
          <w:caps w:val="false"/>
          <w:smallCaps w:val="false"/>
          <w:color w:val="000000"/>
          <w:sz w:val="20"/>
        </w:rPr>
        <w:t xml:space="preserve">co-founded Chicago Atlantic in April 2019 and has served as REFI’s Executive Chairman since REFI’s inception. Mr. Mazarakis is the Co-Executive Chairman and Chief Executive Officer of Vireo Growth Inc., a Canada-based cannabis company whose mission is to provide safe access, quality products and value to its customers while supporting its local communities through active participation and restorative justice programs, since December 2024. As a proven entrepreneur and operator with successful ventures in real estate, retail, and hospitality, Mr. Mazarakis brings over 20 years of entrepreneurial, operational, and managerial experience. He has built a 30+ restaurant chain with more than 1,200 employees, established a real estate portfolio of over 30 properties, developed over 1 million square feet of commercial real estate, and completed multiple real estate financing transactions, at a cumulative annual growth rate exceeding 25%. He has invested in and served as an advisor to multiple successful startups. Mr. Mazarakis holds a Bachelor of Arts in Economics from the University of Delaware and a Master of Business Administration from The University of Chicago Booth School of Business.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Anthony Cappell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co-founded Chicago Atlantic Group in April 2019 and served as REFI’s Chief Executive Officer from REFI’s inception until March 2024 and as REFI’s Co-Chief Executive Officer from March 2024 to the present. Prior to founding Chicago Atlantic Group, Mr. Cappell was a Managing Director and Head of Underwriting at Stonegate Capital, a private credit investment firm focused on lower middle market businesses and emerging brands from July 2016 to October 2018. At Stonegate, he was responsible for credit, underwriting, and the growth strategy of the loan portfolio. Previously, from January 2013 to June 2016, he was a Senior Underwriter at First Midwest Bank and at Gibraltar Business Capital where he worked on a number of specialty finance transactions including technology, software, turnaround/distressed and re-discount loans. He began his career at Wells Fargo Capital Finance focused on a wide array of industries and loan structures from November 2008 to December 2012. Mr. Cappell holds a BA from the University of Wisconsin — Milwaukee and an MBA from The University of Chicago Booth School of Business.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Peter Sack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served as REFI’s Co-President from July 2021 until March 2024 and currently serves as REFI’s Co-Chief Executive Officer from March 2024 to the present. Mr. Sack is a credit investor and portfolio manager with experience investing across the capital structure. Mr. Sack also serves as the Chief Executive Officer of LIEN since March 2025. Prior to joining Chicago Atlantic, Mr. Sack was a Principal at BC Partners Credit from July 2018 to June 2021, where he sourced and underwrote across the firm’s opportunistic and senior lending strategies in a wide array of industries. Previously, Mr. Sack was an Associate at Atlas Holdings LLC, a private-equity firm focused on supporting distressed manufacturing and distribution companies globally, from July 2012 to June 2016. Mr. Sack holds a BA in East Asian Studies from Yale University, a MBA from the Wharton School of the University of Pennsylvania, and was a Fulbright Scholar at Sun Yat-sen University China.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David Kite </w:t>
      </w:r>
      <w:r>
        <w:rPr>
          <w:rFonts w:ascii="Times New Roman;Times;serif" w:hAnsi="Times New Roman;Times;serif"/>
          <w:b w:val="false"/>
          <w:i w:val="false"/>
          <w:caps w:val="false"/>
          <w:smallCaps w:val="false"/>
          <w:color w:val="000000"/>
          <w:sz w:val="20"/>
        </w:rPr>
        <w:t xml:space="preserve">is a Managing Partner at Chicago Atlantic and has served as REFI’s President since March 2026 and as REFI’s Chief Operating Officer since December 2021. Mr. Kite began his career as a commodities trader with Commodities Corp where legendary traders Paul Tudor Jones, Bruce Kovner and Louis Bacon launched their careers. Soon after, Mr. Kite founded K&amp;K Capital Management, where he created a proprietary trading strategy which at its peak managed in excess of $250 million. In 2013, Mr. Kite transitioned to real estate as Partner and Chief Operating Officer of Free Market Ventures a boutique private equity real estate company where he developed over 200 multifamily units, built over 100,000 square feet of cannabis cultivation warehouses, acquired and managed over 250,000 square feet of office space, purchased in excess of $25 million in distressed debt and receiver liens and oversaw all aspects of the company including deal structure, capital raising, debt financing, due diligence, acquisitions, asset management and dispositions. Mr. Kite holds a BA in Economics from the University of Illinois and an MBA from the University of Chicago Booth School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7966x1_n14_136-management02_pg4"/>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shows the dollar range of shares of REFI Common Stock beneficially owned as of [ ], 2026 by each member of the REFI Manager Investment Committee based on the closing price of REFI Common Stock as reported on NASDAQ as of [ ], 2026 as one of the following dollar ranges: None; $1 - $10,000; $10,001 - $50,000; $50,001 - $100,000; or Over $100,000: </w:t>
      </w:r>
    </w:p>
    <w:tbl>
      <w:tblPr>
        <w:tblW w:w="6290" w:type="dxa"/>
        <w:jc w:val="left"/>
        <w:tblInd w:w="0" w:type="dxa"/>
        <w:tblLayout w:type="fixed"/>
        <w:tblCellMar>
          <w:top w:w="0" w:type="dxa"/>
          <w:left w:w="0" w:type="dxa"/>
          <w:bottom w:w="0" w:type="dxa"/>
          <w:right w:w="0" w:type="dxa"/>
        </w:tblCellMar>
      </w:tblPr>
      <w:tblGrid>
        <w:gridCol w:w="4115"/>
        <w:gridCol w:w="140"/>
        <w:gridCol w:w="140"/>
        <w:gridCol w:w="1895"/>
      </w:tblGrid>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41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REFI Manager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Range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Securities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Owned(1)(2)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Over $100,000 </w:t>
            </w:r>
          </w:p>
        </w:tc>
      </w:tr>
      <w:tr>
        <w:trPr/>
        <w:tc>
          <w:tcPr>
            <w:tcW w:w="4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Over $100,000</w:t>
            </w:r>
          </w:p>
        </w:tc>
      </w:tr>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tbl>
      <w:tblPr>
        <w:tblW w:w="7555" w:type="dxa"/>
        <w:jc w:val="left"/>
        <w:tblInd w:w="0" w:type="dxa"/>
        <w:tblLayout w:type="fixed"/>
        <w:tblCellMar>
          <w:top w:w="0" w:type="dxa"/>
          <w:left w:w="0" w:type="dxa"/>
          <w:bottom w:w="0" w:type="dxa"/>
          <w:right w:w="0" w:type="dxa"/>
        </w:tblCellMar>
      </w:tblPr>
      <w:tblGrid>
        <w:gridCol w:w="230"/>
        <w:gridCol w:w="7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has been determined in accordance with Rule 16a-1(a)(2) under the Exchange Act.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range of equity securities of REFI beneficially owned is calculated by multiplying the closing price of REFI Common Stock on [July 22], 2026 on NASDAQ, times the number of shares of REFI Common Stock beneficially owned.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managing the investments of REFI, John Mazarakis and Peter Sack manage investments on behalf of LIEN as members of the LIEN Adviser Investment Committee. The table below lists the number of other accounts for which each current member of the REFI Manager Investment Committee was primarily responsible for the day-to-day management as of [ ], 2026. </w:t>
      </w:r>
    </w:p>
    <w:tbl>
      <w:tblPr>
        <w:tblW w:w="10205" w:type="dxa"/>
        <w:jc w:val="left"/>
        <w:tblInd w:w="0" w:type="dxa"/>
        <w:tblLayout w:type="fixed"/>
        <w:tblCellMar>
          <w:top w:w="0" w:type="dxa"/>
          <w:left w:w="0" w:type="dxa"/>
          <w:bottom w:w="0" w:type="dxa"/>
          <w:right w:w="0" w:type="dxa"/>
        </w:tblCellMar>
      </w:tblPr>
      <w:tblGrid>
        <w:gridCol w:w="2620"/>
        <w:gridCol w:w="140"/>
        <w:gridCol w:w="140"/>
        <w:gridCol w:w="2129"/>
        <w:gridCol w:w="140"/>
        <w:gridCol w:w="140"/>
        <w:gridCol w:w="1012"/>
        <w:gridCol w:w="140"/>
        <w:gridCol w:w="140"/>
        <w:gridCol w:w="799"/>
        <w:gridCol w:w="140"/>
        <w:gridCol w:w="140"/>
        <w:gridCol w:w="1114"/>
        <w:gridCol w:w="140"/>
        <w:gridCol w:w="140"/>
        <w:gridCol w:w="1131"/>
      </w:tblGrid>
      <w:tr>
        <w:trPr/>
        <w:tc>
          <w:tcPr>
            <w:tcW w:w="2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0"/>
              <w:jc w:val="left"/>
              <w:rPr/>
            </w:pPr>
            <w:r>
              <w:rPr/>
              <w:t> </w:t>
            </w:r>
          </w:p>
        </w:tc>
      </w:tr>
      <w:tr>
        <w:trPr/>
        <w:tc>
          <w:tcPr>
            <w:tcW w:w="26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Manager Investment Committee Member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Type of Accounts(1)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No.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Managed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Assets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 of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Accounts where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Advisory Fee 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Assets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Accounts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where Advisory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 is 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(inmillions) </w:t>
            </w:r>
          </w:p>
        </w:tc>
      </w:tr>
      <w:tr>
        <w:trPr/>
        <w:tc>
          <w:tcPr>
            <w:tcW w:w="2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Mazarakis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Cappell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Sack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Registered Investment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Pooled Investment Vehicles: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4"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2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2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0"/>
              <w:jc w:val="left"/>
              <w:rPr/>
            </w:pPr>
            <w:r>
              <w:rPr/>
              <w:t> </w:t>
            </w:r>
          </w:p>
        </w:tc>
      </w:tr>
    </w:tbl>
    <w:tbl>
      <w:tblPr>
        <w:tblW w:w="5515" w:type="dxa"/>
        <w:jc w:val="left"/>
        <w:tblInd w:w="0" w:type="dxa"/>
        <w:tblLayout w:type="fixed"/>
        <w:tblCellMar>
          <w:top w:w="0" w:type="dxa"/>
          <w:left w:w="0" w:type="dxa"/>
          <w:bottom w:w="0" w:type="dxa"/>
          <w:right w:w="0" w:type="dxa"/>
        </w:tblCellMar>
      </w:tblPr>
      <w:tblGrid>
        <w:gridCol w:w="230"/>
        <w:gridCol w:w="52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purposes of this table, Registered Investment Companies include BDCs.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77966x1_n14_137-stock_pg1"/>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7" w:name="tDCSL"/>
      <w:bookmarkEnd w:id="227"/>
      <w:r>
        <w:rPr>
          <w:rFonts w:ascii="Times New Roman;Times;serif" w:hAnsi="Times New Roman;Times;serif"/>
          <w:b/>
          <w:color w:val="000000"/>
          <w:sz w:val="20"/>
        </w:rPr>
        <w:t xml:space="preserve">DESCRIPTION OF CAPITAL STOCK OF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is based on relevant portions of the MGCL and on the LIEN Charter and LIEN Bylaws. This summary is not necessarily complete; you should refer to the LIEN Charter and LIEN Bylaws for a more detailed description of the provisions summarized below.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LIEN Charter, LIEN’s authorized stock consists of 100,000,000 shares of stock, par value $0.01 per share, all of which are initially designated as common stock. There are no outstanding options or warrants to purchase LIEN’s stock. Under the LIEN Charter, the LIEN Board is authorized to classify and reclassify any unissued shares of stock into other classes or series of stock and authorize the issuance of the shares of stock without obtaining shareholder approval. As permitted by the MGCL, the LIEN Charter provides that the LIEN Board, without any action by LIEN Shareholders, may amend the LIEN Charter from time to time to increase or decrease the aggregate number of shares of stock or the number of shares of stock of any class or series that LIEN has the authority to issue.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LIEN’s outstanding classes of securities as of July 28, 2026: </w:t>
      </w:r>
    </w:p>
    <w:tbl>
      <w:tblPr>
        <w:tblW w:w="6200" w:type="dxa"/>
        <w:jc w:val="left"/>
        <w:tblInd w:w="0" w:type="dxa"/>
        <w:tblLayout w:type="fixed"/>
        <w:tblCellMar>
          <w:top w:w="0" w:type="dxa"/>
          <w:left w:w="0" w:type="dxa"/>
          <w:bottom w:w="0" w:type="dxa"/>
          <w:right w:w="0" w:type="dxa"/>
        </w:tblCellMar>
      </w:tblPr>
      <w:tblGrid>
        <w:gridCol w:w="1295"/>
        <w:gridCol w:w="140"/>
        <w:gridCol w:w="140"/>
        <w:gridCol w:w="1055"/>
        <w:gridCol w:w="140"/>
        <w:gridCol w:w="140"/>
        <w:gridCol w:w="1445"/>
        <w:gridCol w:w="140"/>
        <w:gridCol w:w="140"/>
        <w:gridCol w:w="1565"/>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Title of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Held by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LIEN or for LIEN’s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Exclusive of Amount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Held by LIEN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LIEN’s Account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5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22,820,590</w:t>
            </w:r>
          </w:p>
        </w:tc>
      </w:tr>
      <w:tr>
        <w:trPr/>
        <w:tc>
          <w:tcPr>
            <w:tcW w:w="12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r>
    </w:tbl>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LIEN’s shares of common stock are subject to further calls or to assessments, sinking fund provisions, obligations or potential liabilities associated with ownership of the security (not including investment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Common Stock is listed on NASDAQ under the ticker symbol “LIEN.” No stock has been authorized for issuance under any equity compensation plans. Under Maryland law, LIEN Shareholders generally will not be personally liable for LIEN’s debts or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shares of LIEN Common Stock have equal rights as to earnings, assets, dividends and voting and, when they are issued, will be duly authorized, validly issued, fully paid and nonassessable. Distributions may be paid to the holders of LIEN Common Stock if, as and when authorized by the LIEN Board and declared by LIEN out of assets legally available therefor. Shares of LIEN Common Stock have no preemptive, exchange, conversion or redemption rights, generally have no appraisal rights, and are freely transferable, except where their transfer is restricted by federal and state securities laws or by contract. In the event of a liquidation, dissolution or winding up, each share of LIEN Common Stock would be entitled to share ratably in all of LIEN’s assets that are legally available for distribution after LIEN pays all debts and other liabilities and subject to any preferential rights of holders of LIEN’s preferred stock, if any preferred stock is outstanding at such time. Each share of LIEN Common Stock is entitled to one vote on all matters submitted to a vote of shareholders, including the election of directors. Except as provided with respect to any other class or series of stock, the holders of LIEN Common Stock will possess exclusive voting power. There is no cumulative voting in the election of directors, which means that holders of a majority of the outstanding shares of common stock can elect all of LIEN’s directors, and holders of less than a majority of such shares will be unable to elect any director. </w:t>
      </w:r>
    </w:p>
    <w:p>
      <w:pPr>
        <w:pStyle w:val="TextBody"/>
        <w:bidi w:val="0"/>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authorizes the LIEN Board to classify and reclassify any unissued shares of stock into other classes or series of stock, including preferred stock. The cost of any such reclassification would be borne by LIEN’s existing shareholders. Under the terms of the LIEN Charter, the LIEN Board is authorized to issue preferred stock in one or more classes or series without shareholder approval. Prior to issuance of any other class or series of stock, the LIEN Board is required by the MGCL and the LIEN Charter to set the terms, preferences, conversion or other rights, voting powers, restrictions, limitations as to dividends or other distributions, qualifications and terms or conditions of redemption for each class or series. Thus, the LIEN Board could authorize the issuance of shares of preferred stock with terms and conditions which could have the effect of delaying, deferring or preventing a transaction or a change in control that might involve a premium price for holders of LIEN Common Stock or otherwise be in their best interest. You should note, however, that any issuance of preferred stock must comply with the requirements of the 1940 Act.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7966x1_n14_137-stock_pg2"/>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1940 Act requires, among other things, that (1) immediately after issuance and before any dividend or other distribution is made with respect to LIEN Common Stock and before any purchase of LIEN Common Stock is made, such preferred stock together with all other senior securities must not exceed an amount equal to 50% of LIEN’s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LIEN believes that the availability for issuance of preferred stock will provide LIEN with increased flexibility in structuring future financings and acquisitions. However, LIEN does not currently have any plans to issue preferred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on Liability of Directors and Officers; Indemnification and Advance of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permits a Maryland corporation to include in its charter a provision limiting the liability of its directors and officers to the corporation and its shareholders for money damages except for liability resulting from (a) actual receipt of an improper benefit or profit in money, property or services or (b) active and deliberate dishonesty established by a final judgment as being material to the cause of action. The LIEN Charter contains such a provision which eliminates directors’ and officers’ liability to the maximum extent permitted by Maryland law, subject to the requirements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requires a corporation (unless its charter provides otherwise, which the LIEN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obligates LIEN, to the maximum extent permitted by Maryland law and subject to the requirements of the 1940 Act, to indemnify any present or former director or officer or any individual who, while a director or officer and at LIEN’s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The LIEN Bylaws permit LIEN to indemnify and advance expenses to employees and agents who are not officers or directors to the extent permissible under the MGCL and the 1940 Act and as may be determined by the LIEN Board. In accordance with the 1940 Act, LIEN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Provisions of the MGCL, the LIEN Charter and the LIEN Bylaws Could Deter Takeover Attempts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Provisions of the MGCL and of the LIEN Charter and the LIEN Bylaws could deter takeover attempts and have an adverse impact on the price of LIEN Common Stock. The MGCL, the LIEN Charter and the LIEN Bylaws contain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77966x1_n14_137-stock_pg3"/>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that may discourage, delay or make more difficult a change in control of LIEN or the removal of LIEN’s directors. In addition to the matters described below, LIEN has adopted other measures pursuant to the MGCL, some of which are described above, that may make it difficult for a third-party to obtain control of LIEN, including provisions of the LIEN Charter authorizing the LIEN Board to classify or reclassify shares of LIEN’s stock in one or more classes or series, to cause the issuance of additional shares of LIEN’s stock, and to amend the LIEN Charter, without shareholder approval, to increase or decrease the number of shares of stock that LIEN has authority to issue. These provisions, as well as other provisions of the LIEN Charter and the LIEN Bylaws, may delay, defer or prevent a transaction or a change in control that might otherwise be in the best interests of the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are expected to discourage certain coercive takeover practices and inadequate takeover bids and to encourage persons seeking to acquire control of LIEN to negotiate first with the LIEN Board. LIEN believes that the benefits of these provisions outweigh the potential disadvantages of discouraging any such acquisition proposals because, among other things, the negotiation of such proposals may improve their terms.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Classified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is divided into three classes of directors serving staggered three-year terms. At each annual meeting of the LIEN Shareholders, the successors to the class of directors whose terms expire at such meeting will be elected to hold office for a term expiring at the annual meeting of shareholders held in the third year following the year of their election. Each director holds office for the term to which he or she is elected and until his or her successor is duly elected and qualified. A classified board of directors may render a change in control of LIEN or removal of LIEN’s incumbent management more difficult. LIEN believes, however, that the longer time required to elect a majority of a classified board of directors will help to ensure the continuity and stability of LIEN’s management and policies.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provides that the affirmative vote of the holders of a majority of the shares of stock outstanding and entitled to vote in the election of directors will be required to elect a director, unless the LIEN Bylaws provide otherwise. The LIEN Bylaws provide that the affirmative vote of a plurality of the votes cast in the election of directors at a meeting of shareholders duly called and at which a quorum is present will be required to elect a director, unless there is a contested election, in which case a director will be elected only if the director receives a majority of the votes entitled to be cast for that director. The LIEN Board has the exclusive right to amend the LIEN Bylaws to alter the vote required to elect directors.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Directors; Vacancies;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provides that the number of directors will be set only by the LIEN Board in accordance with the LIEN Bylaws. The LIEN Bylaws provide that a majority of the LIEN Board may at any time increase or decrease the number of directors. However, unless the LIEN Bylaws are amended, the number of directors may never be less than one nor more than 15. Pursuant to Section 3-802(b) of the MGCL, LIEN has elected in the LIEN Charter to be subject to Section 3-804(c) of the MGCL regarding the filling of vacancies on the LIEN Board. Accordingly, except as may be provided by the LIEN Board in setting the terms of any class or series of preferred stock, any and all vacancies on the LIEN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qualified, subject to any applicable requirements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provides that, subject to the rights of holders of preferred stock, a director may be removed only for cause, as defined in the LIEN Charter, and then only by the affirmative vote of at least 80% of the votes entitled to be cast generally in the election of directors.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Action by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unless a corporation’s charter provides otherwise (which the LIEN Charter does not) shareholder action can be taken only at an annual or special meeting of shareholders or by unanimous written consent in lieu of a meeting. These provisions, combined with the requirements of the LIEN Bylaws regarding the calling of a shareholder-requested special meeting of shareholders discussed below, may have the effect of delaying consideration of a shareholder proposal until the next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7966x1_n14_137-stock_pg4"/>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Advance Notice Provisions for Shareholder Nominations and Shareholder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Bylaws provide that with respect to an annual meeting of shareholders, nominations of individuals for election to the LIEN Board and the proposal of other business to be considered by shareholders may be made only (1) pursuant to LIEN’s notice of the meeting, (2) by or at the direction of the LIEN Board or (3) by any shareholder who was a shareholder of record at the record date set by the LIEN Board for the purpose of determining shareholders entitled to vote at the meeting, at the time of giving notice as provided for in the LIEN Bylaws and at the time of the meeting (and any postponement or adjournment thereof), who is entitled to vote at the meeting in the election of each individual so nominated or on such other business and who has complied with the advance notice procedures of the LIEN Bylaws. With respect to special meetings of shareholders, only the business specified in LIEN’s notice of the meeting may be brought before the meeting. Nominations of individuals for election to the LIEN Board at a special meeting may be made only (1) by or at the direction of the LIEN Board or (2) provided that the special meeting has been properly called for the purpose of electing directors, by any shareholder who was a shareholder of record at the record date set by the LIEN Board for the purpose of determining shareholders entitled to vote at the meeting, at the time of giving notice as provided for in the LIEN Bylaws and at the time of the meeting (and any postponement or adjournment thereof), who is entitled to vote at the meeting in the election of each individual so nominated and who has complied with the advance notice provisions of the LIEN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purpose of requiring shareholders to give LIEN advance notice of nominations and other business is to afford the LIEN Board a meaningful opportunity to consider the qualifications of the proposed nominees and the advisability of any other proposed business and, to the extent deemed necessary or desirable by the LIEN Board, to inform shareholders and make recommendations about such qualifications or business, as well as to provide a more orderly procedure for conducting meetings of shareholders. Although the LIEN Bylaws do not give the LIEN Board any power to disapprove shareholder nominations for the election of directors or proposals recommending certain action, they may have the effect of precluding a contest for the election of directors or the consideration of shareholder proposals if proper procedures are not followed and of discouraging or deterring a third-party from conducting a solicitation of proxies to elect its own slate of directors or to approve its own proposal without regard to whether consideration of such nominees or proposals might be harmful or beneficial to LIEN and LIEN Shareholders.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Calling of Special Meetings of LIEN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Bylaws provide that special meetings of shareholders may be called by the LIEN Board, the Chairperson of the LIEN Board, and certain of LIEN’s officers. Additionally, the LIEN Bylaws provide that, subject to the satisfaction of certain procedural and informational requirements by the shareholders requesting the meeting, a special meeting of shareholders will be called by LIEN’s secretary upon the written request of shareholders entitled to cast not less than a majority of all the votes entitled to be cast at such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Approval of Extraordinary Corporate Action; Amendment of the LIEN Charter and the LIEN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Maryland law, a Maryland corporation generally cannot dissolve, amend its charter, merge, convert to another form of entity, sell all or substantially all of its assets, engage in a share exchange or engage in similar transactions outside the ordinary course of business, unless approved by the affirmative vote of shareholders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The LIEN Charter generally provides for approval of charter amendments and extraordinary transactions by the shareholders entitled to cast at least a majority of the votes entitled to be cast on the matter if such action is declared advisable by the LIEN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the LIEN Charter provides that approval of the following matters requires the affirmative vote of shareholders entitled to cast at least 80% of the votes entitled to be cast on the matter: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amendments to the provisions of the LIEN Charter relating to LIEN’s purpose, the classification of the LIEN Board, the power of the LIEN Board to fix the number of directors and to fill vacancies on the LIEN Board, the vote required to elect or remove a director, amendments to the LIEN Charter, extraordinary transactions, and the LIEN Board’s exclusive power to amend the LIEN Bylaws;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 Charter amendments that would convert LIEN from a closed-end company to an open-end company or make LIEN Common Stock a redeemable security (within the meaning of the 1940 Act); </w:t>
            </w:r>
          </w:p>
        </w:tc>
      </w:tr>
    </w:tbl>
    <w:tbl>
      <w:tblPr>
        <w:tblW w:w="9835" w:type="dxa"/>
        <w:jc w:val="left"/>
        <w:tblInd w:w="0" w:type="dxa"/>
        <w:tblLayout w:type="fixed"/>
        <w:tblCellMar>
          <w:top w:w="0" w:type="dxa"/>
          <w:left w:w="0" w:type="dxa"/>
          <w:bottom w:w="0" w:type="dxa"/>
          <w:right w:w="0" w:type="dxa"/>
        </w:tblCellMar>
      </w:tblPr>
      <w:tblGrid>
        <w:gridCol w:w="230"/>
        <w:gridCol w:w="960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LIEN’s liquidation or dissolution or any amendment to the LIEN Charter to effect any such liquidation or dissolution;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7966x1_n14_137-stock_pg5"/>
        <w:bookmarkEnd w:id="231"/>
        <w:r>
          <w:rPr>
            <w:rStyle w:val="InternetLink"/>
            <w:rFonts w:ascii="Times New Roman;Times;Serif" w:hAnsi="Times New Roman;Times;Serif"/>
            <w:b/>
            <w:caps w:val="false"/>
            <w:smallCaps w:val="false"/>
            <w:color w:val="000000"/>
            <w:sz w:val="16"/>
          </w:rPr>
          <w:t>TABLE OF CONTENTS</w:t>
        </w:r>
      </w:hyperlink>
    </w:p>
    <w:tbl>
      <w:tblPr>
        <w:tblW w:w="9820" w:type="dxa"/>
        <w:jc w:val="left"/>
        <w:tblInd w:w="0" w:type="dxa"/>
        <w:tblLayout w:type="fixed"/>
        <w:tblCellMar>
          <w:top w:w="0" w:type="dxa"/>
          <w:left w:w="0" w:type="dxa"/>
          <w:bottom w:w="0" w:type="dxa"/>
          <w:right w:w="0" w:type="dxa"/>
        </w:tblCellMar>
      </w:tblPr>
      <w:tblGrid>
        <w:gridCol w:w="245"/>
        <w:gridCol w:w="957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merger, consolidation, conversion, share exchange, or sale or exchange of all or substantially all of LIEN’s assets;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transaction between LIEN and any person or group of persons acting together that is entitled to exercise or direct the exercise, or acquire the right to exercise or direct the exercise, directly or indirectly (other than solely by virtue of a revocable proxy), of one-tenth or more of the voting power in the election of LIEN’s directors generally, or any person controlling, controlled by, or under common control with, employed by or acting as an agent of, any such person or member of such group; or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issuance or transfer by LIEN (in one transaction or a series of transactions in any 12-month period) of any securities of LIEN to any other person in exchange for cash, securities or other property (or a combination thereof) having an aggregate fair market value (as determined by the LIEN Board) of $1,000,000 or more excluding (i) issuances or transfers of debt securities of LIEN, (ii) sales of any securities of LIEN in connection with a public offering, (iii) issuances of any securities of LIEN pursuant to a dividend reinvestment plan and/or cash purchase plan adopted by LIEN, (iv) issuances of any securities of LIEN upon the exercise of any stock subscription rights distributed by LIEN and (v) portfolio transactions effected by LIEN in the ordinary course of business.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if such amendment, proposal, or transaction is approved by at least two-thirds of LIEN’s continuing directors (in addition to approval by the LIEN Board), such amendment, proposal, or transactions may be approved by a majority of the votes entitled to be cast on such a matter, except that any of the proposals or transactions contemplated by paragraphs (d), (e) or (f) above that would not otherwise require shareholder approval under the MGCL will not require further shareholder approval unless another provision of the LIEN Charter requires such approval. In either event, in accordance with the requirements of the 1940 Act, any such amendment, proposal, or transaction that would have the effect of changing the nature of LIEN’s business so as to cause LIEN to cease to be, or to withdraw its election as, a BDC would be required to be approved by a majority of LIEN’s outstanding voting securities, as defined under the 1940 Act. The “continuing directors” are defined in the LIEN Charter as (1) LIEN’s current directors as named therein, (2) those directors whose nomination for election by the shareholders or whose election by the directors to fill vacancies is approved by a majority of such named directors then on the LIEN Board, or (3) any successor directors whose nomination for election by the shareholders or whose election by the directors to fill vacancies is approved by a majority of continuing directors or successor continuing directors then in office. The holders of any preferred stock outstanding would have a separate class vote on any conversion to an open-end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and the LIEN Bylaws provide that the LIEN Board shall have the exclusive power to adopt, alter or repeal any provision of the LIEN Bylaws and to make new LIEN Bylaws.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appraisal rights arising in connection with the Maryland Control Share Acquisition Act discussed below, as permitted by the MGCL, the LIEN Charter provides that LIEN Shareholders will not be entitled to exercise appraisal rights unless the LIEN Board, upon the affirmative vote of a majority of the entire LIEN Board, shall determine that such rights shall apply.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Control Share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subject to Subtitle 7 of Title 3 of the MGCL, the “Maryland Control Share Acquisition Act.” The Maryland Control Share Acquisition Act provides that control shares of a Maryland corporation acquired in a control share acquisition have no voting rights except to the extent approved by the affirmative vote of shareholders entitled to cast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one-tenth or more but less than one-third;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one-third or more but less than a majority; or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or more of all voting power.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the requisite shareholder approval must be obtained each time an acquirer crosses one of the thresholds of voting power set forth above or increases its ownership within one of the tiers for which shareholder approval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7966x1_n14_137-stock_pg6"/>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previously obtained. Control shares do not include shares that the acquiring person is then entitled to vote as a result of having previously obtained shareholder approval. A control share acquisition means the acquisition of issued and outstanding control shares, subject to certain exceptions.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shareholders’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the LIEN Bylaws, compliance with the 1940 Act. Fair value is determined, without regard to the absence of voting rights for the control shares, as of the date of the last control share acquisition by the acquirer or, if a meeting of shareholders at which the voting rights of the shares are considered and not approved is held, as of the date of such meeting. If voting rights for control shares are approved at a shareholders’ meeting and the acquirer becomes entitled to vote a majority of the shares entitled to vote, all other shareholders may exercise appraisal rights. The fair value of the shares as determined for purposes of appraisal rights may not be less than the highest price per share paid by the acquirer in the control share acquisition.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Maryland Control Share Acquisition Act does not apply (a) to shares acquired in a merger, consolidation or share exchange if the corporation is a party to the transaction or (b) to acquisitions approved or exempted by the LIEN Charter or LIEN Bylaws of the corporation. The LIEN Bylaws provide that the Maryland Control Share Acquisition Act does not apply to shares acquired by LIEN Adviser and/or LIEN Adviser’s affiliates. The SEC staff previously took the position that, if a BDC failed to opt-out of the Maryland Control Share Acquisition Act, its actions would be inconsistent with Section 18(i) of the 1940 Act. However, the SEC has since withdrawn its previous position and stated that is would not recommend enforcement action against a closed-end fund, including a BDC, that opts in to being subject to the Maryland Control Share Acquisition Act if the closed-end fund acts with reasonable care on a basis consistent with other applicable duties and laws and the duty to the company and its shareholders generally. As such, LIEN may amend the LIEN Bylaws to be subject to the Maryland Control Share Acquisition Act, but will do so only if the LIEN Board determines that it would be in LIEN’s best interests and if such amendment can be accomplished in compliance with applicable laws, regulations and SEC guidance.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subject to Subtitle 6 of Title 3 of the MGCL, the “Maryland Business Combination Act,” subject to any applicable requirements of the 1940 Act. Pursuant to the Maryland Business Combination Act, certain “business combinations” between a Maryland corporation and an interested shareholder or an affiliate of an interested shareholder are prohibited for five years after the most recent date on which the interested shareholder becomes an interested shareholder. Such “business combinations” include a merger, consolidation, share exchange or, in circumstances specified in the statute, an asset transfer or issuance or reclassification of equity securities. An interested shareholder is defined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beneficially owns, directly or indirectly, 10% or more of the voting power of the corporation’s outstanding voting stock;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affiliate or associate of the corporation who, at any time within the two-year period prior to the date in question, was the beneficial owner, directly or indirectly, of 10% or more of the voting power of the then outstanding stock of the corporation.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is not an interested shareholder under this statute if the corporation’s board of directors approves in advance the transaction by which the shareholder otherwise would have become an interested shareholder. However, in approving a transaction, the board may provide that its approval is subject to compliance, at or after the time of approval, with any terms and conditions determined by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7966x1_n14_137-stock_pg7"/>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five-year prohibition, any business combination between the corporation and an interested shareholder generally must be recommended by the corporation’s board of directors and approved by the affirmative vote of at least: </w:t>
      </w:r>
    </w:p>
    <w:tbl>
      <w:tblPr>
        <w:tblW w:w="8875" w:type="dxa"/>
        <w:jc w:val="left"/>
        <w:tblInd w:w="0" w:type="dxa"/>
        <w:tblLayout w:type="fixed"/>
        <w:tblCellMar>
          <w:top w:w="0" w:type="dxa"/>
          <w:left w:w="0" w:type="dxa"/>
          <w:bottom w:w="0" w:type="dxa"/>
          <w:right w:w="0" w:type="dxa"/>
        </w:tblCellMar>
      </w:tblPr>
      <w:tblGrid>
        <w:gridCol w:w="110"/>
        <w:gridCol w:w="8765"/>
      </w:tblGrid>
      <w:tr>
        <w:trPr/>
        <w:tc>
          <w:tcPr>
            <w:tcW w:w="110" w:type="dxa"/>
            <w:tcBorders/>
            <w:vAlign w:val="center"/>
          </w:tcPr>
          <w:p>
            <w:pPr>
              <w:pStyle w:val="TableContents"/>
              <w:bidi w:val="0"/>
              <w:spacing w:before="0" w:after="0"/>
              <w:jc w:val="left"/>
              <w:rPr>
                <w:color w:val="000000"/>
              </w:rPr>
            </w:pPr>
            <w:r>
              <w:rPr>
                <w:color w:val="000000"/>
              </w:rPr>
              <w:t>•</w:t>
            </w:r>
          </w:p>
        </w:tc>
        <w:tc>
          <w:tcPr>
            <w:tcW w:w="87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80% of the votes entitled to be cast by holders of outstanding shares of voting stock of the corporation;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two-thirds of the votes entitled to be cast by holders of outstanding voting stock of the corporation other than shares held by the interested shareholder with whom or with whose affiliate the business combination is to be effected or held by an affiliate or associate of the interested shareholder.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super-majority vote requirements do not apply if the corporation’s common shareholders receive a minimum price, as defined under Maryland law, for their shares in the form of cash or other consideration in the same form as previously paid by the interested shareholder for its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statute permits various exemptions from its provisions, including business combinations that are exempted by the board of directors before the time that the interested shareholder becomes an interested shareholder. The LIEN Board has adopted a resolution that any business combination between LIEN and any other person is exempted from the provisions of the Business Combination Act, provided that the business combination is first approved by the LIEN Board, including a majority of the LIEN Independent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resolution, however, may be altered or repealed in whole or in part at any time. If this resolution is repealed, or the LIEN Board does not otherwise approve a business combination, the statute may discourage others from trying to acquire control of LIEN and increase the difficulty of consummating such a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Subtitle 8 Title 3 of the Maryland General Corporation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is subject to Subtitle 8 of Title 3 of the MGCL. Subtitle 8 permits Maryland corporations with a class of equity securities registered under the Exchange Act and at least three independent directors to elect to be subject, by provision in its charter or bylaws or a resolution of its board of directors, without shareholder approval, and notwithstanding any contrary provision in the charter or bylaws, to any or all of the following five provisions: a classified board; a two-thirds shareholder vote requirement for removing a director; a requirement that the number of directors may be fixed only by vote of the directors; a requirement that a vacancy on the board be filled only by the remaining directors and that directors elected to fill a vacancy will serve for the remainder of the full term of the class of directors in which the vacancy occurred; and that the request of shareholders entitled to cast at least a majority of all the votes entitled to be cast at the meeting is required for the calling of a special meeting of shareholders. Through provisions in the LIEN Charter and the LIEN Bylaws, some unrelated to Subtitle 8, LIEN already includes provisions classifying the LIEN Board in three classes serving staggered three-year terms; requires the affirmative vote of the holders of not less than 80% of all of the votes entitled to be cast on the matter for the removal of any director from the LIEN Board, which removal is allowed only for cause; vests in the LIEN Board the exclusive power to fix the number of directorships, subject to limitations set forth in the LIEN Charter and the LIEN Bylaws, and fills vacancies for the remainder of the full term of the class of directors in which the vacancy occurred; and require the written request of shareholders entitled to cast not less than a majority of all votes entitled to be cast at such meeting to call a shareholder-initiated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Forum Selection Clause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Bylaws provide that, unless LIEN consents in writing to the selection of an alternative forum, the sole and exclusive forum for (a) any derivative action or proceeding brought on LIEN’s behalf, (b) any Internal Corporate Claim, as such term is defined in the MGCL, (c) any action asserting a claim of breach of any duty owed by any of LIEN’s directors, officers, employees or other agents to LIEN or to LIEN Shareholders, (d) any action asserting a claim against LIEN or any of LIEN’s directors, officers, employees or other agents arising pursuant to any provision of the MGCL, the LIEN Charter or the LIEN Bylaws, or (e) any other action asserting a claim against LIEN or any of LIEN’s directors, officers, employees or other agents that is governed by the internal affairs doctrine shall be, in each case, the Circuit Court for Baltimore City, Maryland, or, if that court does not have jurisdiction, the United States District Court for the District of Maryland, Northern Division. Notwithstanding the foregoing, this provision does not apply to claims arising under the federal securities laws, or any other claim for which the federal courts have exclusive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7966x1_n14_138-stock01_pg1"/>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5" w:name="tDCSR"/>
      <w:bookmarkEnd w:id="235"/>
      <w:r>
        <w:rPr>
          <w:rFonts w:ascii="Times New Roman;Times;serif" w:hAnsi="Times New Roman;Times;serif"/>
          <w:b/>
          <w:color w:val="000000"/>
          <w:sz w:val="20"/>
        </w:rPr>
        <w:t xml:space="preserve">DESCRIPTION OF CAPITAL STOCK OF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description is based on relevant portions of the MGCL and on the REFI Charter and REFI Bylaws. This summary is not necessarily complete, and you should refer to the REFI Charter and REFI Bylaws for a more detailed description of the provisions summarized below.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REFI Charter, REFI’s authorized capital stock consists of up to 100 million shares of REFI Common Stock and up to 10 million shares of preferred stock, $0.01 par value per share (the “REFI Preferred Stock”), of which [25,621,146] shares of REFI Common Stock and no shares of REFI Preferred Stock were outstanding as of [July 22], 2026. The REFI Board, with the approval of a majority of the entire REFI Board and without any action by REFI Shareholders, may amend the REFI Charter from time to time to increase or decrease the aggregate number of shares of stock or the number of shares of stock of any class or series that REFI has authority to issue. Under Maryland law, REFI Shareholders generally are not liable for REFI’s debts or obligations solely as a result of their status as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REFI Common Stock is listed on the NASDAQ under the ticker symbol “REFI.” There are no outstanding options or warrants to purchase REFI Common Stock. [ ] shares of REFI Common Stock have been authorized for issuance under the 2021 Omnibus Incentive Plan. Under the MGCL, REFI Shareholders generally are not personally liable for REFI’s debts or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the MGCL, the REFI Charter provides that a majority of the REFI Board, without any action by REFI Shareholders, may amend the REFI Charter from time to time to increase or decrease the aggregate number of shares of stock or the number of shares of stock of any class or series that REFI has the authority to issue. The REFI Charter also provides that the REFI Board may classify or reclassify any unissued shares of REFI Common Stock into one or more classes or series of common stock or preferred stock by setting or changing the preferences, conversion or other rights, voting powers, restrictions, or limitations as to dividends, qualifications, or terms or conditions of redemption of the shares. Unless the REFI Board determines otherwise, REFI will issue all shares of REFI Common Stock in uncertificated form.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presents REFI’s outstanding classes of securities as of [July 22], 2026: </w:t>
      </w:r>
    </w:p>
    <w:tbl>
      <w:tblPr>
        <w:tblW w:w="5735" w:type="dxa"/>
        <w:jc w:val="left"/>
        <w:tblInd w:w="0" w:type="dxa"/>
        <w:tblLayout w:type="fixed"/>
        <w:tblCellMar>
          <w:top w:w="0" w:type="dxa"/>
          <w:left w:w="0" w:type="dxa"/>
          <w:bottom w:w="0" w:type="dxa"/>
          <w:right w:w="0" w:type="dxa"/>
        </w:tblCellMar>
      </w:tblPr>
      <w:tblGrid>
        <w:gridCol w:w="1475"/>
        <w:gridCol w:w="140"/>
        <w:gridCol w:w="140"/>
        <w:gridCol w:w="1100"/>
        <w:gridCol w:w="140"/>
        <w:gridCol w:w="140"/>
        <w:gridCol w:w="1040"/>
        <w:gridCol w:w="140"/>
        <w:gridCol w:w="140"/>
        <w:gridCol w:w="1280"/>
      </w:tblGrid>
      <w:tr>
        <w:trPr/>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r>
        <w:trPr/>
        <w:tc>
          <w:tcPr>
            <w:tcW w:w="14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Title of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by REFI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REFI’s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Held by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REFI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REFI’s Account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[25,621,146]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may reclassify any unissued shares of REFI Common Stock from time to time into one or more classes or series of stock. Subject to certain provisions of, and except as may otherwise be specified in the REFI Charter, and subject to the rights of the holders of the REFI Preferred Stock, if any, and any other class or series of stock hereinafter classified and designated by the REFI Board: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REFI Common Stock shall have the exclusive right to vote for the election of directors and on all other matters requiring shareholder action, each share entitling the holder thereof to cast one vote on each matter submitted to a vote of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dividends or other distributions may be declared and paid or set apart for payment upon REFI Common Stock out of any assets or REFI’s funds legally available for the payment of distributions, but only when, as, and if, authorized by the REFI Board;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REFI’s voluntary or involuntary liquidation, dissolution or winding up, REFI’s net assets legally available for distribution shall, after the payment of or adequate provision for all known debts and liabilities and any preferential rights of the holders of any then-outstanding shares of REFI Preferred Stock, be distributed pro rata to the holders of REFI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7966x1_n14_138-stock01_pg2"/>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Classified or Reclassified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issuance of classified or reclassified shares of any class or series of stock, the REFI Board by resolution shall: (a) designate that class or series to distinguish it from all other classes and series of REFI’s stock; (b) specify the number of shares to be included in the class or series; (c) set or change, subject to the provisions of the REFI Charter and REFI Bylaws and subject to the express terms of any class or series of REFI’s stock outstanding at the time, the preferences, conversion or other rights, voting powers (including exclusive voting rights, if any), restrictions, limitations as to dividends or other distributions, qualifications and terms and conditions of redemption for each class or series; and (d) cause REFI to file articles supplementary with the State Department of Assessments and Taxation of Maryland.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Consent in Lieu of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MGCL generally provides that, unless the charter of the corporation authorizes shareholder action by less than unanimous consent, holders of common stock may take action by consent in lieu of a meeting only if it is given by all such shareholders entitled to vote on the matter. The REFI Charter provides for action by common shareholders by less than unanimous consent, if the action is first advised, and submitted to shareholders for approval, by the REFI Board.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from time to time may authorize and REFI may pay to REFI’s shareholders such dividends or other distributions in cash or other property, including in shares of one class of REFI’s capital stock payable to holders of shares of another class of REFI’s stock, as the REFI Board in its discretion shall determine.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the REFI Charter and approved by resolution of the REFI Board, none of REFI’s directors or officers, including any officer or director who also serves as a director, officer or employee of REFI Manager, or serves on the REFI Manager Investment Committee, shall be obligated, in their capacity as such, to offer REFI the opportunity to participate in any business or investing activity or venture that falls within REFI’s investment guidelines that is presented to such person, other than in their capacity as REFI’s officer or director.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Ownership Limitations and Exceptions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for REFI to qualify as a REIT under the Code, shares of REFI Common Stock must be owned by 100 or more persons during at least 335 days of a taxable year of 12 months (other than the first year for which an election to qualify as a REIT has been made) or during a proportionate part of a shorter taxable year. Also, not more than 50% of the value of the outstanding shares of REFI’s stock may be owned, directly or indirectly, by five or fewer individuals (as defined in the Code to include certain entities such as private foundations) during the last half of a taxable year (other than the first year for which an election to be a REIT has been made). To qualify as a REIT, REFI must satisfy other requirements as well.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contains restrictions on the ownership and transfer of REFI’s stock. The REFI Board may, from time to time, grant waivers from these restrictions, in its sole discretion. The REFI Charter provides that, subject to the exceptions described below, no person or entity may own, or be deemed to own, beneficially or by virtue of the applicable constructive ownership provisions of the Code, more than 9.8%, in value or in number of shares, whichever is more restrictive, of the outstanding shares of REFI Common Stock (referred to as the “common stock ownership limit”) or 9.8% in value of the outstanding shares of all classes or series of REFI’s stock (referred to as the “aggregate stock ownership limit” and collectively with the stock ownership limit, the “ownership limits”). Any person or entity that, but for operation of the ownership limits or another restriction on ownership and transfer of REFI’s stock as described below, would beneficially own or constructively own shares of REFI’s stock in violation of such limits or restrictions and, if appropriate in the context, a person or entity that would have been the record owner of such shares of REFI’s stock is referred to as a “prohibited owner.”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constructive ownership rules under the Code are complex and may cause shares of stock owned beneficially or constructively by a group of related individuals and/or entities to be owned beneficially or constructively by one individual or entity. As a result, the acquisition of less than 9.8%, in value or in number of shares, whichever is more restrictive, of the outstanding shares of REFI Common Stock, or less than 9.8% in value of the outstanding shares of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7966x1_n14_138-stock01_pg3"/>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classes and series of REFI’s stock (or the acquisition by an individual or entity of an interest in an entity that owns, beneficially or constructively, shares of REFI’s stock), could cause that individual or entity, or another individual or entity, to own beneficially or constructively shares of REFI’s stock in excess of the ownership limits.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in its sole and absolute discretion, may exempt, prospectively or retroactively, a particular shareholder from the ownership limits or establish a different limit on ownership (referred to as the “excepted holder limit”) if the REFI Board determines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exemption will not cause five or fewer individuals to beneficially own more than 49.9% in value of REFI’s outstanding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shareholder does not and will not constructively own an interest in a tenant of ours (or a tenant of any entity owned or controlled by REFI) that would cause REFI to own, actually or constructively, more than a 9.9% interest (as set forth in Section 856(d)(2)(B) of the Code) in such tenant (or the REFI Board determines that revenue derived from such tenant will not affect REFI’s ability to qualify as a REIT).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violation or attempted violation of any such representations or undertakings will result in such shareholder’s shares of stock being automatically transferred to a charitable trust. As a condition of granting the waiver or establishing the excepted holder limit, the REFI Board may require an opinion of counsel or a ruling from the IRS, in either case in form and substance satisfactory to the REFI Board, in its sole and absolute discretion, in order to determine or ensure REFI’s status as a REIT and such representations and undertakings from the person requesting the exception as the REFI Board may require in its sole and absolute discretion to make the determinations above. the REFI Board may impose such conditions or restrictions as it deems appropriate in connection with granting such a waiver or establishing an excepted holder limit.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granting a waiver of the ownership limits or creating an excepted holder limit or at any other time, the REFI Board may from time to time increase or decrease the common stock ownership limit, the aggregate stock ownership limit or both, for all other persons, unless, after giving effect to such increase, five or fewer individuals could beneficially own, in the aggregate, more than 49.9% in value of REFI’s outstanding stock or REFI would otherwise fail to qualify as a REIT. A reduced ownership limit will not apply to any person or entity whose percentage ownership of REFI Common Stock or REFI’s stock of all classes and series, as applicable, is, at the effective time of such reduction, in excess of such decreased ownership limit until such time as such person’s or entity’s percentage ownership of REFI Common Stock or REFI’s stock of all classes and series, as applicable, equals or falls below the decreased ownership limit, but any further acquisition of shares of REFI Common Stock or stock of all other classes or series, as applicable, will violate the decreased ownership limit.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REFI Charter further prohibits: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from beneficially or constructively owning, applying certain attribution rules of the Code, shares of REFI’s stock that could result in REFI’s being “closely held” under Section 856(h) of the Code (without regard to whether the ownership interest is held during the last half of a taxable year) or otherwise cause REFI to fail to qualify as a REIT;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from transferring shares of REFI’s stock if the transfer would result in shares of REFI’s stock being beneficially owned by fewer than 100 persons (determined under the principles of Section 856(a)(5) of the Code);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from beneficially owning shares of REFI’s stock to the extent such ownership would (or, in the sole judgment of REFI’s board of directors, could) result in REFI’s failing to qualify as a “domestically controlled qualified investment entity” within the meaning of Section 897(h) of the Code.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who acquires or attempts or intends to acquire beneficial or constructive ownership of shares of REFI’s stock that will or may violate the ownership limits or any of the other restrictions on ownership and transfer of REFI’s stock described above, or who would have owned shares of REFI’s stock transferred to the trust as described below, must immediately give written notice to REFI of such event or, in the case of a proposed or attempted transaction, give REFI at least 15 days’ prior written notice and provide REFI with such other information as REFI may request in order to determine the effect of such transfer on REFI’s status as a REIT.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transfer of shares of REFI’s stock would result in shares of REFI’s stock being beneficially owned by fewer than 100 persons, the transfer will be null and void and the intended transferee will acquire no rights in the shares. In addition, if any purported transfer of shares of REFI’s stock or any other event would otherwise result in any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7966x1_n14_138-stock01_pg4"/>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violating the ownership limits or an excepted holder limit established by the REFI Board, REFI’s being “closely held” under Section 856(h) of the Code (without regard to whether the ownership interest is held during the last half of a taxable year) or REFI’s otherwise failing to qualify as a REIT or REFI’s being a “domestically controlled qualified investment entity” within the meaning of Section 897(h) of the Code, then that number of shares (rounded up to the nearest whole share) that would cause the violation will be automatically transferred to, and held by, a trust for the exclusive benefit of one or more charitable organizations selected by REFI,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is not automatically effective, for any reason, to prevent violation of the applicable ownership limits or REFI’s being “closely held” under Section 856(h) of the Code (without regard to whether the ownership interest is held during the last half of a taxable year) or REFI’s otherwise failing to qualify as a REIT or REFI’s being a “domestically controlled qualified investment entity”, then the REFI Charter provides that the transfer of the shares will be null and void and the intended transferee will acquire no rights in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REFI’s stock held in the trust will be issued and outstanding shares. The prohibited owner will not benefit economically from ownership of any shares of REFI’s stock held in the trust and will have no rights to distributions and no rights to vote or other rights attributable to the shares of REFI’s stock held in the trust. The trustee of the trust will exercise all voting rights and receive all distributions with respect to shares held in the trust for the exclusive benefit of the charitable beneficiary of the trust. Any distribution made before REFI discover that the shares have been transferred to a trust as described above must be repaid by the recipient to the trustee upon demand by REFI. Subject to Maryland law, effective as of the date that the shares have been transferred to the trust, the trustee will have the authority to rescind as void any vote cast by a prohibited owner before REFI’s discovery that the shares have been transferred to the trust and to recast the vote in accordance with the desires of the trustee acting for the benefit of the charitable beneficiary of the trust. However, if REFI have already taken irreversible corporate action, then the trustee may not rescind and recast the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REFI’s stock transferred to the trustee are deemed offered for sale to REFI, or REFI’s designee, at a price per share equal to the lesser of (i) the price paid by the prohibited owner for the shares (or, in the case of a devise, gift or other transaction, the market price at the time of such devise, gift or other transaction) and (ii) the market price on the date REFI accept, or REFI’s designee accepts, such offer. REFI may reduce the amount so payable to the trustee by the amount of any distribution that REFI made to the prohibited owner before REFI discovered that the shares had been automatically transferred to the trust and that are then owed by the prohibited owner to the trustee as described above, and REFI may pay the amount of any such reduction to the trustee for distribution to the charitable beneficiary. REFI has the right to accept such offer until the trustee has sold the shares of REFI’s stock held in the trust as discussed below. Upon a sale to REFI, the interest of the charitable beneficiary in the shares sold terminates, and the trustee must distribute the net proceeds of the sale to the prohibited owner and must distribute any distributions held by the trustee with respect to such shares to the charitable beneficiary.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REFI do not buy the shares, the trustee must, within 20 days of receiving notice from REFI of the transfer of shares to the trust, sell the shares to a person or entity designated by the trustee who could own the shares without violating the ownership limits or the other restrictions on ownership and transfer of REFI’s stock. After the sale of the shares, the interest of the charitable beneficiary in the shares transferred to the trust will terminate and the trustee must distribute to the prohibited owner an amount equal to the lesser of (i) the price paid by the prohibited owner for the shares (or, if the prohibited owner did not give value for the shares in connection with the event causing the shares to be held in the trust (for example, in the case of a gift, devise or other such transaction), the market price of the shares on the day of the event causing the shares to be held in the trust) and (ii) the sales proceeds (net of any commissions and other expenses of sale) received by the trustee for the shares. The trustee may reduce the amount payable to the prohibited owner by the amount of any distribution that REFI paid to the prohibited owner before REFI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REFI that shares of stock have been transferred to a trust, such shares of stock are sold by a prohibited owner, then such shares will be deemed to have been sold on behalf of the trust and, to the extent that the prohibited owner received an amount for or in respect of such shares that exceeds the amount that such prohibited owner was entitled to receive, such excess amount will be paid to the trustee upon demand. The prohibited owner has no rights in the shares held by the trustee.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77966x1_n14_138-stock01_pg5"/>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REFI Board determines that a transfer or other event has occurred that would violate the restrictions on ownership and transfer of REFI’s stock described above, the REFI Board may take such action as it deems advisable to refuse to give effect to or to prevent such transfer, including, but not limited to, causing REFI to redeem shares of REFI’s stock, refusing to give effect to the transfer on REFI’s books or instituting proceedings to enjoin the transfer.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Every owner of 5% or more (or such lower percentage as required by the Code or the regulations promulgated thereunder) of REFI’s stock, within 30 days after the end of each taxable year, must give REFI written notice stating the shareholder’s name and address, the number of shares of each class or series of REFI’s stock that the shareholder beneficially owns and a description of the manner in which the shares are held. Each such owner must provide to REFI in writing such additional information as REFI may request in order to determine the effect, if any, of the shareholder’s beneficial ownership on REFI’s status as a REIT and to ensure compliance with the ownership limits. In addition, any person or entity that is a beneficial owner or constructive owner of shares of REFI’s stock and any person or entity (including the shareholder of record) that is holding shares of REFI’s stock for a beneficial owner or constructive owner must, on request, provide to REFI such information as REFI may request in order to determine REFI’s status as a REIT and to comply with the requirements of any taxing authority or governmental authority or to determine such compliance and to ensure compliance with the ownership limits.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certificates representing shares of REFI’s stock will bear a legend referring to the restrictions on ownership and transfer of REFI’s stock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restrictions on ownership and transfer of REFI’s stock will not apply if the REFI Board determines that it is no longer in REFI’s best interests to attempt to qualify, or to continue to qualify, as a REIT or that compliance is no longer required in order for REFI to qualify as a REIT.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restrictions on ownership and transfer of REFI’s stock described above could delay, defer or prevent a transaction or a change in control that might involve a premium price for REFI Common Stock or otherwise be in the best interests of REFI’s shareholders.</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shares of REFI Common Stock have no preference, conversion, exchange, sinking fund, redemption or appraisal rights and have no preemptive rights to subscribe for any other securities of REFI.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REFI Common Stock is Continental Stock Transfer &amp; Trust Company.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REFI’s common stock is listed on the Nasdaq Global Market under the symbol “REFI”.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and REFI Bylaws provide that REFI’s number of directors initially shall be nine, which number may be increased or decreased only by the REFI Board pursuant to the REFI Bylaws, but shall never be less than the minimum number required by the MGCL (which is one), nor more than fifteen. Each of REFI’s directors will be elected by REFI’s shareholders to serve for a term ending at the next annual meeting of shareholders and when his or her successor is duly elected and qualifies.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Vacancies</w:t>
      </w:r>
      <w:r>
        <w:rPr>
          <w:rFonts w:ascii="Times New Roman;Times;serif" w:hAnsi="Times New Roman;Times;serif"/>
          <w:i w:val="false"/>
          <w:caps w:val="false"/>
          <w:smallCaps w:val="false"/>
          <w:color w:val="000000"/>
          <w:sz w:val="20"/>
        </w:rPr>
        <w:t xml:space="preserve">. Subject to the terms of any class or series of the REFI Preferred Stock, vacancies on the REFI Board may be filled only by the affirmative vote of a majority of the remaining directors, even if the remaining directors do not constitute a quorum, and any director elected to fill a vacancy will hold office for the remainder of the full term of the directorship in which the vacancy occurred and until his or her successor is duly elected and qualifies.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Voting</w:t>
      </w:r>
      <w:r>
        <w:rPr>
          <w:rFonts w:ascii="Times New Roman;Times;serif" w:hAnsi="Times New Roman;Times;serif"/>
          <w:i w:val="false"/>
          <w:caps w:val="false"/>
          <w:smallCaps w:val="false"/>
          <w:color w:val="000000"/>
          <w:sz w:val="20"/>
        </w:rPr>
        <w:t xml:space="preserve">. The action of a majority of the directors present at a meeting at which a quorum is present shall be the action of the REFI Board, unless the concurrence of a greater proportion is required for such action by applicable law, the REFI Charter or the REFI Bylaws.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Removal of Directors</w:t>
      </w:r>
      <w:r>
        <w:rPr>
          <w:rFonts w:ascii="Times New Roman;Times;serif" w:hAnsi="Times New Roman;Times;serif"/>
          <w:i w:val="false"/>
          <w:caps w:val="false"/>
          <w:smallCaps w:val="false"/>
          <w:color w:val="000000"/>
          <w:sz w:val="20"/>
        </w:rPr>
        <w:t xml:space="preserve">. Subject to the rights of holders of shares of one or more classes or series of REFI Preferred Stock to elect or remove one or more directors, any director, or the entire REFI Board, may be removed from office 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77966x1_n14_138-stock01_pg6"/>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time, but only for cause (as defined in the REFI Charter) and then only by the affirmative vote of a majority of the votes entitled to be cast generally in the election of directors. This provision, when coupled with the exclusive power of the REFI Board to fill vacancies on the REFI Board, precludes shareholders from removing incumbent directors (except for cause and upon a substantial affirmative vote) and filling the vacancies created by such removal with their own nominees.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Election of Directors</w:t>
      </w:r>
      <w:r>
        <w:rPr>
          <w:rFonts w:ascii="Times New Roman;Times;serif" w:hAnsi="Times New Roman;Times;serif"/>
          <w:i w:val="false"/>
          <w:caps w:val="false"/>
          <w:smallCaps w:val="false"/>
          <w:color w:val="000000"/>
          <w:sz w:val="20"/>
        </w:rPr>
        <w:t xml:space="preserve">. Except as may otherwise be provided in the REFI Charter with respect to holders of any class or series of REFI Preferred Stock, a plurality of all the votes cast at a meeting of shareholders duly called and at which a quorum is present shall be sufficient to elect a director. Holders of shares of REFI Common Stock have no right to cumulative voting in the election of directors. Consequently, the holders of a majority of the outstanding shares of REFI Common Stock can elect all of the directors then standing for election, and the holders of the remaining shares will not be able to elect any directors.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REIT Qualification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provides that the REFI Board may revoke or otherwise terminate REFI’s REIT election pursuant to Section 856(g) of the Code, without approval of REFI’s shareholders, if the REFI Board determines that it is no longer in REFI’s best interests to attempt to, or continue to, qualify as a REIT. the REFI Board, in its sole and absolute discretion, also may (a) determine that compliance with any restriction or limitation on stock ownership and transfers set forth in the REFI Charter is no longer required for REIT qualification and (b) make any other determination or take any other action pursuant to the provisions of the REFI Charter.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certain “business combinations” (including a merger, consolidation, statutory share exchange or, in certain circumstances, an asset transfer or issuance or reclassification of equity securities) between a Maryland corporation and an interested shareholder (defined generally as any person who beneficially owns, directly or indirectly, 10% or more of the voting power of the corporation’s outstanding voting stock or an affiliate or associate of the corporation who, at any time during the two-year period immediately prior to the date in question, was the beneficial owner of 10% or more of the voting power of the then-outstanding stock of the corporation) or an affiliate of such an interested shareholder are prohibited for five years after the most recent date on which the interested shareholder becomes an interested shareholder. Thereafter, any such business combination must generally be recommended by the board of directors of the corporation and approved by the affirmative vote of at least (i) 80% of the votes entitled to be cast by holders of outstanding shares of voting stock of the corporation and (ii) two-thirds of the votes entitled to be cast by holders of voting stock of the corporation, other than shares held by the interested shareholder with whom (or with whose affiliate) the business combination is to be effected or held by an affiliate or associate of the interested shareholder, unless, among other conditions, the corporation’s common shareholders receive a minimum price (as defined in the MGCL) for their shares and the consideration is received in cash or in the same form as previously paid by the interested shareholder for its shares. A person is not an interested shareholder under the statute if the board of directors approved in advance the transaction by which the person otherwise would have become an interested shareholder. A corporation’s board of directors may provide that its approval is subject to compliance, at or after the time of approval, with any terms and conditions determined by the board of directors. By resolution of the REFI Board, REFI have opted out of the business combination provisions of the MGCL and provide that any business combination between REFI and any other person is exempt from the business combination provisions of the MGCL, provided that the business combination is first approved by the REFI Board (including a majority of directors who are not affiliates or associates of such persons).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Control Share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MGCL provides that holders of “control shares” of a Maryland corporation acquired in a “control share acquisition” have no voting rights with respect to such shares except to the extent approved by the affirmative vote of at least two-thirds of the votes entitled to be cast on the matter. Shares owned by the acquirer, an officer of the corporation or an employee of the corporation who is also a director of the corporation are excluded from shares entitled to vote on the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7966x1_n14_138-stock01_pg7"/>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rPr>
        <w:t xml:space="preserve">Control shares” are voting shares of stock that, if aggregated with all other such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one-tenth or more but less than one-third;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one-third or more but less than a majority; or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or more of all voting power.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Control shares do not include shares that the acquiring person is then entitled to vote as a result of having previously obtained shareholder approval or shares acquired directly from the corporation. A “control share acquisition” means the acquisition of issued and outstanding control shares, subject to certain exceptions.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who has made or proposes to make a control share acquisition, upon satisfaction of certain conditions (including an undertaking to pay expenses and making an “acquiring person statement” as described in the MGCL), may compel the board of directors to call a special meeting of shareholders to be held within 50 days of demand to consider the voting rights of the shares. If no request for a meeting is made, the corporation may itself present the question at any shareholders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voting rights are not approved at the meeting or if the acquiring person does not deliver an “acquiring person statement” as required by the statute, then, subject to certain conditions and limitations, the corporation may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acquirer or, if a meeting of shareholders is held at which the voting rights of such shares are considered and not approved, as of the date of such meeting. If voting rights for control shares are approved at a shareholders’ meeting and the acquirer becomes entitled to vote a majority of the shares entitled to vote, all other shareholders may exercise appraisal rights. The fair value of the shares as determined for purposes of such appraisal rights may not be less than the highest price per share paid by the acquirer in the control share acquisition.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control share acquisition statute does not apply to shares acquired in a merger, consolidation or statutory share exchange if the corporation is a party to the transaction or acquisitions approved or exempted by the charter or bylaws of the corporation. The REFI Bylaws contain a provision exempting from the control share acquisition statute any and all acquisitions by any person of shares of REFI’s stock. This provision may be amended or eliminated at any time in the future by the REFI Board.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Subtitle 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Subtitle 8 of Title 3 of the MGCL permits a Maryland corporation with a class of equity securities registered under the Exchange Act, and at least three independent directors to elect, by provision in its charter or bylaws or a resolution of its board of directors and notwithstanding any contrary provision in the charter or bylaws, to be subject to any or all of five provisions, including: </w:t>
      </w:r>
    </w:p>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classified board of directors;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two-thirds vote requirement for removing a director;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requirement that the number of directors be fixed only by vote of the board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a vacancy on the board of directors be filled only by a vote of the remaining directors in office and for the remainder of the full term of the class of directors in which the vacancy occurred and until a successor is elected and qualifies; and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requirement for the calling of a shareholder-requested special meeting of shareholders.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provides that, at such time as REFI are able to make a Subtitle 8 election, vacancies on the REFI Board may be filled only by the remaining directors and that directors elected by the REFI Board to fill vacancies will serve for the remainder of the full term of the directorship in which the vacancy occurred. Through provisions in the REFI Charter and REFI Bylaws unrelated to Subtitle 8, REFI already (i) vest in the REFI Board the exclusive power to fix the number of directorships and (ii) require, unless called by the REFI Board, chairman of the REFI Board, REFI’s chief executive officer or REFI’s president, the written request of shareholders entitled to cast a majority of all of the votes entitled to be cast at such a meeting to call a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77966x1_n14_138-stock01_pg8"/>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and Limitation of Directors’ and Officers’ Liability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permits a Maryland corporation to include in its charter a provision limiting the liability of its directors and officers to the corporation and its shareholders for money damages, except for liability resulting from (i) actual receipt of an improper benefit or profit in money, property or services or (ii) active and deliberate dishonesty that is established by a final judgment and that is material to the cause of action. The REFI Charter contains a provision that eliminates the liability of REFI’s directors and officers to the maximum extent permitted by Maryland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MGCL requires REFI (unless the REFI Charter provides otherwise, which the REFI Charter does not) to indemnify a director or officer who has been successful, on the merits or otherwise, in the defense of any proceeding to which he or she is made a party by reason of his or her service in that capacity. The MGCL permits REFI to indemnify REFI’s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act or omission of the director or officer was material to the matter giving rise to the proceeding and (a) was committed in bad faith or (b) was the result of active and deliberate dishonesty; </w:t>
            </w:r>
          </w:p>
        </w:tc>
      </w:tr>
    </w:tbl>
    <w:tbl>
      <w:tblPr>
        <w:tblW w:w="8455" w:type="dxa"/>
        <w:jc w:val="left"/>
        <w:tblInd w:w="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 or officer actually received an improper personal benefit in money, property or services;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any criminal proceeding, the director or officer had reasonable cause to believe that the act or omission was unlawful.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REFI may not indemnify a director or officer in a suit by REFI or in REFI’s right in which the director or officer was adjudged liable to REFI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REFI or in REFI’s right, or for a judgment of liability on the basis that personal benefit was improperly received, is limited to expenses.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MGCL permits REFI to advance reasonable expenses to a director or officer upon REFI’s receipt of: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written affirmation by the director or officer of his or her good faith belief that he or she has met the standard of conduct necessary for indemnification by REFI;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written undertaking by or on behalf of the director or officer to repay the amount paid or reimbursed by REFI if it is ultimately determined that the director or officer did not meet the standard of conduct.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obligates REFI to the maximum extent permitted by Maryland law in effect from time to time, to indemnify and, without requiring a preliminary determination of the ultimate entitlement to indemnification, pay or reimburse reasonable expenses in advance of final disposition of a proceeding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present or former director or officer who is made or threatened to be made a party to, or witness in, a proceeding by reason of his or her service in that capacity;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individual who, while a director or officer of REFI and at REFI’s request, serves or has served as a director, officer, partner, member, manager, trustee, employee or agent of another corporation, REIT, partnership, limited liability company, joint venture, trust, employee benefit plan or any other enterprise and who is made or threatened to be made a party to, or witness in, the proceeding by reason of his or her service in that capacity.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also permits REFI to indemnify and advance expenses to any person who served a predecessor of ours in any of the capacities described above and to any employee or agent of ours or a predecessor of ours.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indemnification provided by the REFI Charter, REFI have entered into indemnification agreements with REFI’s directors and officers that provide for indemnification to the maximum extent permitted by Maryland law, subject to certain standards to be met and certain other limitations and conditions as set forth in such indemnification agreements.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Advance Notice of Director Nominations and New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Bylaws provide that, with respect to an annual meeting of REFI’s shareholders, nominations of individuals for election to the REFI Board and the proposal of other business to be considered by REFI’s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7966x1_n14_138-stock01_pg9"/>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be made only (i) pursuant to REFI’s notice of the meeting, (ii) by or at the direction of the REFI Board or (iii) by any shareholder who was a shareholder of record at the record date set by the REFI Board for determining shareholders entitled to vote at the meeting, at the time of giving the notice required by the REFI Bylaws and at the time of the meeting, who is entitled to vote at the meeting in the election of each individual so nominated or on such other proposed business and has provided notice to REFI within the time period, and containing the information and other materials, specified in the advance notice provisions of the REFI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special meetings of shareholders, only the business specified in REFI’s notice of meeting may be brought before the meeting. Nominations of individuals for election to the REFI Board may be made only (i) by or at the direction of the REFI Board or (ii) if the meeting has been called for the purpose of electing directors, by any shareholder who was a shareholder of record at the record date set by the REFI Board for determining shareholders entitled to vote at the meeting, at the time of giving the notice required by the REFI Bylaws and at the time of the meeting, who is entitled to vote at the meeting in the election of each individual so nominated and who has provided notice to REFI within the time period, and containing the information and other materials, specified in the advance notice provisions of the REFI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advance notice procedures of the REFI Bylaws provide that, to be timely, a shareholder’s notice with respect to director nominations or other proposals for an annual meeting must be delivered to REFI’s secretary at REFI’s principal executive office not earlier than the 150th day nor later than 5:00 p.m., Eastern Time, on the 120th day prior to the first anniversary of the date of the proxy statement for REFI’s preceding year’s annual meeting. With respect to REFI’s first annual meeting or in the event that the date of the annual meeting is advanced or delayed by more than 30 days from the first anniversary of the date of the preceding year’s annual meeting, to be timely, a shareholder’s notice must be delivered not earlier than the 150th day prior to the date of such annual meeting and not later than 5:00 p.m., Eastern Time, on the close of business on the later of the 120th day prior to the date of such annual meeting or the tenth day following the day on which public announcement of the date of such meeting is first made.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Meetings of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REFI Bylaws, annual meetings of shareholders will be held each year at a date, time and place determined by the REFI Board. Special meetings of shareholders may be called by the REFI Board, chairman of the REFI Board, REFI’s chief executive officer or REFI’s president. Additionally, subject to the provisions of the REFI Bylaws, special meetings of the shareholders must be called by REFI’s secretary upon the written request of shareholders entitled to cast not less than a majority of the votes entitled to be cast at such meeting. Only matters set forth in the notice of the special meeting may be considered and acted upon at such a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Amendments to the Charter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 Maryland corporation generally may not amend its charter unless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Except for those amendments permitted to be made without shareholder approval under Maryland law or the REFI Charter, the REFI Charter generally may be amended only if the amendment is first declared advisable by the REFI Board and thereafter approved by the affirmative vote of shareholders entitled to cast a majority of all of the votes entitled to be cast on the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has the exclusive power to adopt, alter or repeal any provision of the REFI Bylaws and to make new REFI Bylaws.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Transactions Outside the Ordinary Course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MGCL, a Maryland corporation generally may not dissolve, merge or consolidate with, or convert to, another entity, sell all or substantially all of its assets or engage in a statutory share exchange unless the action is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The REFI Charter provides that these actions must be approved by a majority of all of the votes entitled to be cast on the matter.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Dissolution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dissolution of REFI must be declared advisable by a majority of the entire REFI Board and approved by REFI’s shareholders by the affirmative vote of a majority of all of the votes entitled to be cast on the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77966x1_n14_138-stock01_pg10"/>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Certain Provisions of Maryland Law and of the REFI Charter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Charter and REFI Bylaws and Maryland law contain provisions that may delay, defer or prevent a change in control or other transaction that might involve a premium price for shares of REFI Common Stock or otherwise be in the best interests of REFI’s shareholders, including advance notice requirements for director nominations and other shareholder proposals. Likewise, if the provision in the REFI Bylaws opting out of the control share acquisition provisions of the MGCL were rescinded or if REFI were to opt into the classified board or other provisions of Subtitle 8, these provisions of the MGCL could have similar anti-takeover effects.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Exclusive Forum for Certain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Bylaws provide that, unless REFI consents in writing to the selection of an alternative forum, the Circuit Court for Baltimore City, Maryland, or, if that court does not have jurisdiction, the United States District Court for the District of Maryland, Northern Division, will be the sole and exclusive forum for (a) any Internal Corporate Claim, as such term is defined in the MGCL, (b) any derivative action or proceeding brought on REFI’s behalf (other than actions arising under federal securities laws), (c) any action asserting a claim of breach of any duty owed by any of REFI’s directors, officers or other employees to REFI or to its shareholders, (d) any action asserting a claim against REFI or any of REFI’s directors, officers or other employees arising pursuant to any provision of the MGCL or the REFI Charter or REFI Bylaws or (e) any other action asserting a claim against REFI or any of REFI’s directors, officers or other employees that is governed by the internal affairs doctrine. These choice of forum provisions will not apply to suits brought to enforce a duty or liability created by the Securities Act, the Exchange Act, or any other claim for which federal courts have exclusive jurisdiction. Furthermore, the REFI Bylaws provide that, unless REFI consent in writing to the selection of an alternative forum, the federal district courts of the United States of America shall, to the fullest extent permitted by law, be the sole and exclusive forum for the resolution of any claim arising under the Securities Act. Although the REFI Bylaws contain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the exclusive forum provisions described above do not apply to any actions brought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REFI believes these provisions will benefit REFI by limiting costly and time-consuming litigation in multiple forums and by providing increased consistency in the application of applicable law, these exclusive forum provisions may limit the ability of REFI’s shareholders to bring a claim in a judicial forum that such shareholders find favorable for disputes with REFI or REFI’s directors, officers or employees, which may discourage such lawsuits against REFI and REFI’s directors, officers and other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77966x1_n14_139-comparison_pg1"/>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6" w:name="tCLRS"/>
      <w:bookmarkEnd w:id="246"/>
      <w:r>
        <w:rPr>
          <w:rFonts w:ascii="Times New Roman;Times;serif" w:hAnsi="Times New Roman;Times;serif"/>
          <w:b/>
          <w:color w:val="000000"/>
          <w:sz w:val="20"/>
        </w:rPr>
        <w:t xml:space="preserve">COMPARISON OF LIEN AND REFI SHAREHOLDER RIGHTS </w:t>
      </w:r>
    </w:p>
    <w:p>
      <w:pPr>
        <w:pStyle w:val="TextBody"/>
        <w:bidi w:val="0"/>
        <w:spacing w:before="120" w:after="283"/>
        <w:ind w:left="0" w:right="0" w:firstLine="400"/>
        <w:jc w:val="both"/>
        <w:rPr/>
      </w:pPr>
      <w:r>
        <w:rPr>
          <w:rFonts w:ascii="Times New Roman;Times;serif" w:hAnsi="Times New Roman;Times;serif"/>
          <w:color w:val="000000"/>
          <w:sz w:val="20"/>
        </w:rPr>
        <w:t>The following is a summary of the material differences between the rights of LIEN Shareholders and REFI Shareholders. The following discussion is not intended to be complete and is qualified by reference to the LIEN Charter and LIEN Bylaws, the REFI Charter and REFI Bylaws, and the MGCL. Information about the rights of LIEN Shareholders and REFI Shareholders can be found in the LIEN Charter and LIEN Bylaws and the REFI Charter and REFI Bylaws. The LIEN Charter is incorporated herein by reference to Exhibits (1)(a) and (1)(b) and the LIEN Bylaws are incorporated herein by reference to Exhibit (2) in this joint proxy statement/prospectus and will be sent to LIEN Shareholders upon request. The REFI Charter and REFI Bylaws are incorporated herein by reference to Exhibits 3.1, 3.2, 3.3 and 3.4 in “</w:t>
      </w:r>
      <w:r>
        <w:rPr>
          <w:rFonts w:ascii="Times New Roman;Times;serif" w:hAnsi="Times New Roman;Times;serif"/>
          <w:i/>
          <w:color w:val="000000"/>
          <w:sz w:val="20"/>
        </w:rPr>
        <w:t>Part IV. Item 15. Exhibits, Financial Statement Schedules</w:t>
      </w:r>
      <w:r>
        <w:rPr>
          <w:rFonts w:ascii="Times New Roman;Times;serif" w:hAnsi="Times New Roman;Times;serif"/>
          <w:color w:val="000000"/>
          <w:sz w:val="20"/>
        </w:rPr>
        <w:t xml:space="preserve">” in REFI’s Annual Report on </w:t>
      </w:r>
      <w:hyperlink r:id="rId27">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and will be sent to REFI Shareholders upon request.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and REFI are Maryland corporations subject to the MGCL. The rights of LIEN Shareholders and REFI Shareholders are substantially similar, with the following exceptions: </w:t>
      </w:r>
    </w:p>
    <w:tbl>
      <w:tblPr>
        <w:tblW w:w="10205" w:type="dxa"/>
        <w:jc w:val="left"/>
        <w:tblInd w:w="0" w:type="dxa"/>
        <w:tblLayout w:type="fixed"/>
        <w:tblCellMar>
          <w:top w:w="0" w:type="dxa"/>
          <w:left w:w="0" w:type="dxa"/>
          <w:bottom w:w="0" w:type="dxa"/>
          <w:right w:w="0" w:type="dxa"/>
        </w:tblCellMar>
      </w:tblPr>
      <w:tblGrid>
        <w:gridCol w:w="155"/>
        <w:gridCol w:w="1094"/>
        <w:gridCol w:w="140"/>
        <w:gridCol w:w="140"/>
        <w:gridCol w:w="4861"/>
        <w:gridCol w:w="140"/>
        <w:gridCol w:w="140"/>
        <w:gridCol w:w="3379"/>
        <w:gridCol w:w="156"/>
      </w:tblGrid>
      <w:tr>
        <w:trPr/>
        <w:tc>
          <w:tcPr>
            <w:tcW w:w="155"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094"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8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3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Charter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LIEN Charter provides that LIEN may make any amendment to the LIEN Charter, as authorized by law, including any amendment altering the terms or contract rights, as expressly set forth in the LIEN Charter, of any shares of stock of LIEN, and all rights and powers conferred by the LIEN Charter on shareholders, LIEN directors and officers are granted subject to this reservation.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for those amendments permitted to be made without shareholder approval under the MGCL or by specific provision in the LIEN Charter, and provided that the LIEN Board has declared the amendment advisable and directed that it be submitted for consideration by the shareholders as required by the MGCL, any amendment to the LIEN Charter shall be valid only if approved by the affirmative vote of shareholders entitled to cast a majority of all the votes entitled to be cast on the matter.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the foregoing, the affirmative vote of the shareholders entitled to cast at least 80% of the votes entitled to be cast on the matter, with holders of each class or series of shares voting as a separate class, is required to approve: (i) any amendment to the LIEN Charter to make LIEN Common Stock a “redeemable security” and any other proposal to convert LIEN, whether by amendment to the LIEN Charter, merger or otherwise, from a “closed-end company” to an “open-end company” (as defined in the 1940 Act); (ii) any amendment to the LIEN Charter to effect any liquidation or dissolution of LIEN; and (iii) any amendment to, or any amendment inconsistent with the provisions of, Article II, Section 4.1 (Number, Election, Vacancies, and</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REFI Charter provides that REFI may make any amendment to the REFI Charter, as authorized by law, including any amendment altering the terms or contract rights, as expressly set forth in the REFI Charter, of any shares of stock of REFI, and all rights and powers conferred by the REFI Charter on shareholders, REFI directors and officers are granted subject to this reservation.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for those amendments permitted to be made without shareholder approval, the MGCL or by specific provision in the REFI Charter, and provided that the REFI Board has declared the amendment advisable and directed that it be submitted for consideration by the shareholders as required by the MGCL, any amendment to the REFI Charter shall be valid only if approved by the affirmative vote of the shareholders entitled to cast a majority of the votes entitled to be cast on the matter.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09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86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379"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77966x1_n14_139-comparison_pg2"/>
        <w:bookmarkEnd w:id="2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30"/>
        <w:gridCol w:w="140"/>
        <w:gridCol w:w="140"/>
        <w:gridCol w:w="3941"/>
        <w:gridCol w:w="140"/>
        <w:gridCol w:w="140"/>
        <w:gridCol w:w="3963"/>
        <w:gridCol w:w="156"/>
      </w:tblGrid>
      <w:tr>
        <w:trPr/>
        <w:tc>
          <w:tcPr>
            <w:tcW w:w="15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Classification of Directors), Section 4.2 (Extraordinary Actions), Section 4.3 (Election of Directors), Section 4.9 (Removal of Directors), Section 5.6 (Charter and Bylaws), Section 6.1 (Amendments Generally), or Section 6.2 (Approval of Certain Extraordinary Actions and Charter Amendments) of the LIEN Charter.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of Liquidation or Dissolution of the Corporation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affirmative vote of LIEN Shareholders entitled to cast at least 80% of the votes entitled to be cast, with holders of each class or series of shares voting as a separate class, is required to approve liquidation or dissolution of LIEN, unless at least two-thirds of the continuing directors (as defined in the LIEN Charter) approve such liquidation or dissolution, in addition to approval by the LIEN Board, then the affirmative vote of the holders of a majority of the votes entitled to be cast on the matter shall be sufficient to approve such liquidation or dissolution.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REFI Shareholders entitled to cast two-thirds of the votes entitled to be cast on the matter is required to approve any liquidation or dissolution of REFI under MGCL.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Authorization of Stock Issuance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LIEN Board may authorize the issuance from time to time of shares of stock of LIEN of any class or series, whether now or hereafter authorized, or securities or rights convertible into shares of its stock of any class or series, whether now or hereafter authorized, for such consideration as the LIEN Board may deem advisable (or without consideration in the case of a stock split or stock dividend), subject to such restrictions or limitations, if any, as may be set forth in the LIEN Charter or the LIEN Bylaws.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may authorize the issuance from time to time of shares of stock of REFI of any class or series, whether now or hereafter authorized, or securities or rights convertible into shares of its stock of any class or series, whether now or hereafter authorized, for such consideration as the REFI Board may deem advisable (or without consideration in the case of a stock split or stock dividend or for the purpose of qualifying as a REIT under the Code), subject to such restrictions or limitations, if any, as may be set forth in the REFI Charter or the REFI Bylaws.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Class and Term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LIEN Board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LIEN Shareholders.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is not divided into classes. Directors of the REFI Board serve one-year terms until their successors are duly elected and qualify.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Conduct of Shareholder Meeting</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chairman of any meeting of LIEN Shareholders may prescribe such rules, regulations and procedures and take such action as, in the discretion of the chairman of the meeting and without any action by LIEN Shareholders, are appropriate for the proper conduct of the meeting, including, without limitation, (a) restricting admission to the time set for the commencement of the meeting; (b) limiting attendance or participation at the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chairman of any meeting of REFI Shareholders may prescribe such rules, regulations and procedures and take such action as, in the discretion of the chairman of the meeting and without any action by REFI Shareholders, are appropriate for the proper conduct of the meeting, including, without limitation, (a) restricting admission to the time set for the commencement of the meeting; (b) limiting attendance or participation at the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4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3"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77966x1_n14_139-comparison_pg3"/>
        <w:bookmarkEnd w:id="2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846"/>
        <w:gridCol w:w="140"/>
        <w:gridCol w:w="140"/>
        <w:gridCol w:w="4287"/>
        <w:gridCol w:w="140"/>
        <w:gridCol w:w="140"/>
        <w:gridCol w:w="4200"/>
        <w:gridCol w:w="157"/>
      </w:tblGrid>
      <w:tr>
        <w:trPr/>
        <w:tc>
          <w:tcPr>
            <w:tcW w:w="155"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0"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meeting to shareholders of record of LIEN, their duly authorized proxies and such other individuals as the chairman of the meeting may determine; (c) limiting participation at the meeting on any matter to shareholders of record of LIEN entitled to vote on such matter, their duly authorized proxies or other such individuals as the chairman of the meeting may determine; (d) limiting the time allotted to questions or comments; (e) determining when and for how long the polls should be opened and when the polls should be closed and when announcement of the results should be made; (f) maintaining order and security at the meeting; (g) removing any shareholder or any other individual who refuses to comply with meeting procedures, rules or guidelines as set forth by the chairman of the meeting; (h) concluding a meeting or recessing or adjourning the meeting, whether or not a quorum is present, to a later date and time and at a place announced at the meeting; and (i) complying with any state and local laws and regulations concerning safety and security. Unless otherwise determined by the chairman of the meeting, meetings of shareholders shall not be required to be held in accordance with any rules of parliamentary procedure.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meeting to shareholders of record of REFI, their duly authorized proxies and such other individuals as the chairman of the meeting may determine; (c) recognizing speakers at the meeting and determining when and for how long speakers and any individual speaker may address the meeting; (d) determining when and for how long the polls should be opened and when the polls should be closed and when announcement of the results should be made; (e) maintaining order and security at the meeting; (f) removing any shareholder or any other individual who refuses to comply with meeting procedures, rules or guidelines as set forth by the chairman of the meeting; (g) concluding a meeting or recessing or adjourning the meeting, whether or not a quorum is present, to a later date and time and at a place either (i) announced at the meeting or (ii) provided at a future time through means announced at the meeting; and (h) complying with any state and local laws and regulations concerning safety and security. Unless otherwise determined by the chairman of the meeting, meetings of shareholders shall not be required to be held in accordance with any rules of parliamentary procedure.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for a contested election, a plurality of all the votes cast at a meeting of the LIEN Shareholders duly called and at which a quorum is present shall be sufficient to elect a director. In a contested election, a director shall be elected only if the director receives a majority of the votes entitled to be cast for that director at a meeting of the LIEN Shareholders duly called and at which a quorum is present.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plurality of all votes cast at a meeting of the REFI Shareholders duly called and at which a quorum is present shall be sufficient to elect a director.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rights of holders of one or more classes or series of preferred stock to elect or remove one or more directors, any director, or the entire LIEN Board, may be removed from office at any time, but only for cause and then only by the affirmative vote of at least eighty percent (80%) of the votes entitled to be cast generally in the election of directors. For the purpose of this paragraph, “cause” shall mean, with respect to any particular director, conviction of a felony or a final judgment of a court of competent jurisdiction holding that such director caused demonstrable, material harm to LIEN through bad faith or active and deliberate dishonesty.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rights of holders of shares of one or more classes or series of preferred stock to elect or remove one or more directors, any director, or the entire REFI Board, may be removed from office at any time, but only for cause and then only by the affirmative vote of a majority of the votes entitled to be cast generally in the election of directors. For the purpose of this paragraph, “cause” shall mean, with respect to any particular director, (i) conviction of a felony, (ii) declaration of unsound mind by order of court, (iii) gross dereliction of duty, (iv) commission of any action involving moral turpitude or (v) commission of an action which constitutes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8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00"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7966x1_n14_139-comparison_pg4"/>
        <w:bookmarkEnd w:id="2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201"/>
        <w:gridCol w:w="140"/>
        <w:gridCol w:w="140"/>
        <w:gridCol w:w="2230"/>
        <w:gridCol w:w="140"/>
        <w:gridCol w:w="140"/>
        <w:gridCol w:w="5902"/>
        <w:gridCol w:w="157"/>
      </w:tblGrid>
      <w:tr>
        <w:trPr/>
        <w:tc>
          <w:tcPr>
            <w:tcW w:w="155"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intentional misconduct or a knowing violation of law if such action in either event results in either an improper substantial personal benefit or a material injury to REFI.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Advisory Agreement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LIEN Charter nor LIEN Bylaws have a provision regarding advisory agreements.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such approval of shareholders and other conditions, if any, as may be required by any applicable statute, rule or regulation, the REFI Board may authorize the execution and performance by REFI of one or more agreements with any person, corporation, association, company, trust, partnership (limited or general) or other organization whereby, subject to the supervision and control of the REFI Board, any such other person, corporation, association, company, trust, partnership (limited or general) or other organization shall render or make available to REFI managerial, investment, advisory and/or related services, office space and other services and facilities (including, if deemed advisable by the REFI Board, the management or supervision of the investments of REFI) upon such terms and conditions as may be provided in such agreement or agreements (including, if deemed fair and equitable by the REFI Board, the compensation payable thereunder by REFI).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Actions by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LIEN Charter nor LIEN Bylaws have such a provision.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action required or permitted to be taken at any meeting of shareholders may be taken without a meeting (a) if a unanimous consent setting forth the action is given in writing or by electronic transmission by each shareholder entitled to vote on the matter and filed with the minutes of the proceedings of the shareholders or (b) if the action is advised, and submitted to the shareholders for approval, by the REFI Board and a consent in writing or by electronic transmission of shareholders entitled to cast not less than the minimum number of votes that would be necessary to authorize or take the action at a meeting of shareholders is delivered to REFI in accordance with the MGCL. REFI shall give notice of any action taken by less than unanimous consent to each shareholder not later than ten days after the effective time of such action.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Exclusive Forum</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Unless LIEN consents in writing to the selection of an alternative forum, the Circuit Court for Baltimore City, Maryland, or, if that Court does not have jurisdiction, the United States District Court for the District of Maryland, Northern Division, shall be the sole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REFI consents in writing to the selection of an alternative forum, the Circuit Court for Baltimore City, Maryland, or, if that Court does not have jurisdiction, the United States District Court for the District of Maryland, Northern Division, shall be the sole and exclusive forum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2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02"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7966x1_n14_139-comparison_pg5"/>
        <w:bookmarkEnd w:id="2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913"/>
        <w:gridCol w:w="140"/>
        <w:gridCol w:w="140"/>
        <w:gridCol w:w="4037"/>
        <w:gridCol w:w="140"/>
        <w:gridCol w:w="140"/>
        <w:gridCol w:w="4384"/>
        <w:gridCol w:w="156"/>
      </w:tblGrid>
      <w:tr>
        <w:trPr/>
        <w:tc>
          <w:tcPr>
            <w:tcW w:w="155"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4"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13"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1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37"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and exclusive forum for (a) any derivative action or proceeding brought on behalf of LIEN, (b) any Internal Corporate Claim, as such term is defined in the MGCL, (c) any action asserting a claim of breach of any duty owed by any director, officer, employee or other agent of LIEN to LIEN or to the LIEN Shareholders, (d) any action asserting a claim against LIEN on or any director, officer, employee or other agent of LIEN arising pursuant to any provision of the MGCL, the LIEN Charter or the LIEN Bylaws, or (e) any other action asserting a claim against LIEN or any director, officer, employee or other agent of LIEN that is governed by the internal affairs doctrine. None of the foregoing actions, claims or proceedings may be brought in any court sitting outside the State of Maryland unless LIEN consents in writing to such court. Notwithstanding the foregoing, the exclusive forum clause does not apply to claims arising under the federal securities laws, or any other claim for which the federal courts have exclusive jurisdiction.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84"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any Internal Corporate Claim, as such term is defined in the MGCL, or any successor provision thereof, (b) any derivative action or proceeding brought on behalf of REFI, other than actions arising under federal securities laws, (c) any action asserting a claim of breach of any duty owed by any director or officer or other employee of REFI to REFI or to REFI Shareholders, (d) any action asserting a claim against REFI or any director or officer or other employee of REFI arising pursuant to any provision of the MGCL or the REFI Charter or REFI Bylaws, or (e) any other action asserting a claim against REFI or any director or officer or other employee of REFI that is governed by the internal affairs doctrine, and any record or beneficial shareholder of REFI who commences such an action shall cooperate in a request that the action be assigned to the Court’s Business and Technology Case Management Program. None of the foregoing actions, claims or proceedings may be brought in any court sitting outside the State of Maryland unless REFI consents in writing to such court. The exclusive forum clause does not apply to claims arising under the Securities Act, or the Exchange Act or any other claim for which the federal courts have exclusive jurisdiction.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13"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Right of Inspection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LIEN Shareholder may inspect and copy during usual business hours the LIEN Bylaws, the minutes of the proceedings of the LIEN Shareholders, annual statements of affairs and voting trust agreements deposited with LIEN at its principal office. In addition, one or more persons who together are and for at least six months have been shareholders of record of at least five percent of the outstanding shares of stock of any class of LIEN may inspect and copy during usual business hours LIEN’s books of account and its stock ledger and, if LIEN does not maintain the original or a duplicate stock ledger at its principal office, present to any officer of LIEN a written request for a list of LIEN Shareholders.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However, a LIEN Shareholder that is otherwise eligible under applicable law to inspect LIEN’s books of account or other specified documents of LIEN shall have no right to make such inspection if the LIEN Board determines that such shareholder has an improper purpose for requesting such inspection.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REFI Shareholder may inspect and copy during usual business hours the REFI Bylaws, the minutes of the proceedings of the REFI Shareholders, annual statements of affairs and voting trust agreements deposited with REFI at its principal office. In addition, one or more persons who together are and for at least six months have been shareholders of record of at least five percent of the outstanding shares of stock of any class of REFI may inspect and copy during usual business hours REFI’s books of account and its stock ledger and, if REFI does not maintain the original or a duplicate stock ledger at its principal office, present to any officer of REFI a written request for a list of REFI Shareholders.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13"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3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84"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77966x1_n14_139-comparison_pg6"/>
        <w:bookmarkEnd w:id="2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214"/>
        <w:gridCol w:w="140"/>
        <w:gridCol w:w="140"/>
        <w:gridCol w:w="3866"/>
        <w:gridCol w:w="140"/>
        <w:gridCol w:w="140"/>
        <w:gridCol w:w="4253"/>
        <w:gridCol w:w="157"/>
      </w:tblGrid>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3"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1940 Act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provision of the MGCL, or any provision of the LIEN Charter or the LIEN Bylaws conflicts with any provision of the 1940 Act, the applicable provision of the 1940 Act will control.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REFI Charter nor REFI Bylaws includes any provisions related to the 1940 Act.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REIT Qualification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LIEN Charter nor LIEN Bylaws includes any provisions regarding REIT Qualifications.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REFI elects to qualify for federal income tax treatment as a REIT, the REFI Board shall use its reasonable best efforts to take such actions as are necessary or appropriate to preserve the status of REFI as a REIT; however, if the REFI Board determines that it is no longer in the best interests of REFI to attempt to, or continue to, qualify as a REIT, the REFI Board may revoke or otherwise terminate REFI’s REIT election pursuant to Section 856(g) of the Code. The REFI Board, in its sole and absolute discretion, also may (a) determine that compliance with any restriction or limitation on stock ownership and transfers set forth in Article VII of the REFI Charter is no longer required for REIT qualification and (b) make any other determination or take any other action pursuant to Article VII of the REFI Charter.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Appraisal Rights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LIEN Shareholders shall not be entitled to exercise the rights of an objecting shareholder under Title 3, Subtitle 2 of the MGCL or any successor provision thereto unless the LIEN Board, upon the affirmative vote of a majority of the entire LIEN Board and upon such terms and conditions as may be specified by the LIEN Board, shall determine that such rights apply, with respect to all or any shares of all or any classes or series of stock, or any proportion of the shares thereof, to a particular transaction or all transactions occurring after the date of such determination in connection with which holders of such shares would otherwise be entitled to exercise such rights.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REFI Shareholders shall not be entitled to exercise any rights of an objecting shareholder provided for under Title 3, Subtitle 2 of the MGCL or any successor statute unless the REFI Board upon such terms and conditions as may be specified by the REFI Board determines that such rights apply, with respect to all or any shares of all or any classes or series of stock, to one or more transactions occurring after the date of such determination in connection with which holders of such shares would otherwise be entitled to exercise such rights.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Place of Shareholder Meetings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meetings of LIEN Shareholders shall be held at the principal executive office of LIEN or at such other place as shall be set by the LIEN Board in accordance with the LIEN Bylaws. The LIEN Board may determine that the meeting not be held at any place, but instead by remote communication.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meeting of REFI Shareholders shall be held at the principal executive office of REFI or at such other place as shall be set in accordance with the REFI Bylaws.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1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6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253"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77966x1_n14_139-comparison_pg7"/>
        <w:bookmarkEnd w:id="2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813"/>
        <w:gridCol w:w="140"/>
        <w:gridCol w:w="140"/>
        <w:gridCol w:w="5513"/>
        <w:gridCol w:w="140"/>
        <w:gridCol w:w="140"/>
        <w:gridCol w:w="3007"/>
        <w:gridCol w:w="157"/>
      </w:tblGrid>
      <w:tr>
        <w:trPr/>
        <w:tc>
          <w:tcPr>
            <w:tcW w:w="155" w:type="dxa"/>
            <w:tcBorders/>
            <w:vAlign w:val="center"/>
          </w:tcPr>
          <w:p>
            <w:pPr>
              <w:pStyle w:val="TableContents"/>
              <w:bidi w:val="0"/>
              <w:spacing w:before="0" w:after="0"/>
              <w:jc w:val="left"/>
              <w:rPr/>
            </w:pPr>
            <w:r>
              <w:rPr/>
              <w:t> </w:t>
            </w:r>
          </w:p>
        </w:tc>
        <w:tc>
          <w:tcPr>
            <w:tcW w:w="813"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13"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13"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5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13"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Remote Meetings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1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anything to the contrary in the LIEN Bylaws, the LIEN Board may determine at any time, including, without limitation, after the calling of any meeting of shareholders, that any meeting of shareholders be held solely by means of remote communication or both at a physical location and by means of remote communication. Notwithstanding anything to the contrary in the LIEN Bylaws, if it is determined after notice of the meeting has been sent to shareholders that participation by shareholders in the meeting shall or may be conducted by means of remote communication, notice thereof may be provided at any time in any manner permitted by law. Shareholders and proxy holders entitled to be present and to vote at the meeting that are not physically present at such a meeting but participate by means of remote communication shall be considered present in person for all purposes under the LIEN Bylaws and may vote at such a meeting. Subject to any guidelines or procedures that the LIEN Board may adopt, any meeting at which shareholders or proxy holders are permitted to participate by means of remote communication shall be conducted in accordance with the following, unless otherwise permitted by applicable law or regulation: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LIEN shall implement reasonable measures to verify that each person considered present and authorized to vote at the meeting by means of remote communication is a shareholder or proxy holder;</w:t>
            </w:r>
          </w:p>
          <w:p>
            <w:pPr>
              <w:pStyle w:val="TableContents"/>
              <w:bidi w:val="0"/>
              <w:spacing w:before="0" w:after="283"/>
              <w:ind w:left="389"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LIEN shall implement reasonable measures to provide the shareholders and proxy holders a reasonable opportunity to participate in the meeting and to vote on matters submitted to the shareholders, including an opportunity to read or hear the proceedings of the meeting substantially concurrently with the proceedings; and</w:t>
            </w:r>
          </w:p>
          <w:p>
            <w:pPr>
              <w:pStyle w:val="TableContents"/>
              <w:bidi w:val="0"/>
              <w:spacing w:before="0" w:after="283"/>
              <w:ind w:left="444"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In the event any shareholder or proxy holder votes or takes other action at the meeting by means of remote communication, a record of the vote or other action shall be maintained by LIEN.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or chairman of the meeting may permit one or more shareholders to participate in a meeting by means of a conference telephone or other communications equipment in any manner permitted by Maryland law. In addition, the REFI Board may determine that a meeting not be held at any place, but instead may be held solely by means of remote communications in any manner permitted by Maryland law. Participation in a meeting by these means constitutes presence in person at such meeting.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13"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513"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007"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77966x1_n14_139-comparison_pg8"/>
        <w:bookmarkEnd w:id="2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159"/>
        <w:gridCol w:w="140"/>
        <w:gridCol w:w="140"/>
        <w:gridCol w:w="4451"/>
        <w:gridCol w:w="140"/>
        <w:gridCol w:w="140"/>
        <w:gridCol w:w="3723"/>
        <w:gridCol w:w="157"/>
      </w:tblGrid>
      <w:tr>
        <w:trPr/>
        <w:tc>
          <w:tcPr>
            <w:tcW w:w="155" w:type="dxa"/>
            <w:tcBorders/>
            <w:vAlign w:val="center"/>
          </w:tcPr>
          <w:p>
            <w:pPr>
              <w:pStyle w:val="TableContents"/>
              <w:bidi w:val="0"/>
              <w:spacing w:before="0" w:after="0"/>
              <w:jc w:val="left"/>
              <w:rPr/>
            </w:pPr>
            <w:r>
              <w:rPr/>
              <w:t> </w:t>
            </w:r>
          </w:p>
        </w:tc>
        <w:tc>
          <w:tcPr>
            <w:tcW w:w="1159"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3"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59"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59"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Fractional Shares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51"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LIEN Board may authorize LIEN to issue fractional shares of stock or authorize the issuance of scrip, all on such terms and under such conditions as it may determine. Notwithstanding any other provision of the LIEN Charter or LIEN Bylaws, the LIEN Board may authorize the issuance of units consisting of different securities of LIEN. Any security issued in a unit shall have the same characteristics as any identical securities issued by LIEN, except that the LIEN Board may provide that for a specified period securities of the LIEN issued in such unit may be transferred on the books of LIEN only in such unit.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fractional share shall carry proportionately the rights of a whole share including, without limitation, the right to vote and the right to receive dividends. However, if stock certificates are issued, a fractional share shall not have the right to receive a certificate evidencing it.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23" w:type="dxa"/>
            <w:tcBorders>
              <w:bottom w:val="single" w:sz="8" w:space="0" w:color="000000"/>
            </w:tcBorders>
            <w:tcMar>
              <w:bottom w:w="43" w:type="dxa"/>
            </w:tcM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REFI Board may authorize REFI to issue fractional shares of stock or authorize the issuance of scrip, all on such terms and under such conditions as the REFI Board may determine. Notwithstanding any other provision of the REFI Charter or REFI Bylaws, the REFI Board may authorize the issuance of units consisting of different securities of REFI.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159"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Transfer and Ownership Restrictions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LIEN does not have any transfer or ownership restrictions in the LIEN Charter or LIEN Bylaws.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June 30, 2022 until the REFI Board determines that, pursuant to Section 5.7 of the REFI Charter, it is no longer in the best interest of REFI to attempt to, or continue to, qualify as a REIT or that compliance with the restrictions and limitations on beneficial ownership, constructive ownership and transfers of shares set forth in the REFI Charter is no longer required in order for REFI to qualify as a REIT, the following applies: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No person other than an excepted shareholder shall beneficially own or constructively own shares of REFI stock in excess of 9.8% of the value of the aggregate of the outstanding shares of REFI stock, or such other percentage determined by the REFI Board in accordance with Section 7.2.8 of the REFI Charter, excluding any such outstanding shares of REFI stock that are not treated as outstanding for U.S. federal income tax purposes (the “REFI Stock Ownership Limit”).</w:t>
            </w:r>
          </w:p>
          <w:p>
            <w:pPr>
              <w:pStyle w:val="TableContents"/>
              <w:bidi w:val="0"/>
              <w:spacing w:before="0" w:after="283"/>
              <w:ind w:left="389"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 xml:space="preserve">No person shall beneficially own or constructively own shares of REFI stock to the extent that such beneficial ownership or constructive ownership of REFI stock could result in REFI being “closely held”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59"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5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23"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77966x1_n14_139-comparison_pg9"/>
        <w:bookmarkEnd w:id="2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140"/>
        <w:gridCol w:w="1116"/>
        <w:gridCol w:w="140"/>
        <w:gridCol w:w="140"/>
        <w:gridCol w:w="8078"/>
        <w:gridCol w:w="15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8"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78" w:type="dxa"/>
            <w:tcBorders/>
            <w:vAlign w:val="center"/>
          </w:tcPr>
          <w:p>
            <w:pPr>
              <w:pStyle w:val="TableContents"/>
              <w:bidi w:val="0"/>
              <w:spacing w:before="0" w:after="283"/>
              <w:ind w:left="444" w:right="0" w:hanging="0"/>
              <w:jc w:val="both"/>
              <w:rPr>
                <w:rFonts w:ascii="Times New Roman;Times;serif" w:hAnsi="Times New Roman;Times;serif"/>
                <w:color w:val="000000"/>
                <w:sz w:val="20"/>
              </w:rPr>
            </w:pPr>
            <w:r>
              <w:rPr>
                <w:rFonts w:ascii="Times New Roman;Times;serif" w:hAnsi="Times New Roman;Times;serif"/>
                <w:color w:val="000000"/>
                <w:sz w:val="20"/>
              </w:rPr>
              <w:t>within the meaning of Section 856(h) of the Code (without regard to whether the ownership interest is held during the last half of a taxable year), or otherwise failing to qualify as a REIT (including, without limitation, beneficial ownership or constructive ownership that could result in REFI constructively owning an interest in a tenant that is described in Section 856(d)(2)(B) of the Code if the income derived by REFI from such tenant would cause REFI to fail to satisfy any of the gross income requirements of Section 856(c) of the Code), taking into account any other income of REFI that would not constitute qualifying income under such requirements.</w:t>
            </w:r>
          </w:p>
          <w:p>
            <w:pPr>
              <w:pStyle w:val="TableContents"/>
              <w:bidi w:val="0"/>
              <w:spacing w:before="0" w:after="283"/>
              <w:ind w:left="444"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(iii) 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 xml:space="preserve">Any transfer of shares of REFI stock that, if effective, would result in the REFI stock being beneficially owned by fewer than 100 persons (determined under the principles of Section 856(a)(5) of the Code) shall be void </w:t>
            </w:r>
            <w:r>
              <w:rPr>
                <w:rFonts w:ascii="Times New Roman;Times;serif" w:hAnsi="Times New Roman;Times;serif"/>
                <w:color w:val="000000"/>
                <w:sz w:val="20"/>
                <w:u w:val="single"/>
              </w:rPr>
              <w:t>ab initio</w:t>
            </w:r>
            <w:r>
              <w:rPr>
                <w:rFonts w:ascii="Times New Roman;Times;serif" w:hAnsi="Times New Roman;Times;serif"/>
                <w:color w:val="000000"/>
                <w:sz w:val="20"/>
              </w:rPr>
              <w:t>, and the intended transferee shall acquire no rights in such shares of REFI stock.</w:t>
            </w:r>
          </w:p>
          <w:p>
            <w:pPr>
              <w:pStyle w:val="TableContents"/>
              <w:bidi w:val="0"/>
              <w:spacing w:before="0" w:after="283"/>
              <w:ind w:left="50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(iv) 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No person shall beneficially own shares of REFI to the extent that such beneficial ownership of REFI stock would (or in the sole judgment of the REFI Board, could) result in REFI failing to qualify as a “domestically controlled qualified investment entity” within the meaning of Section 897(h) of the Code.</w:t>
            </w:r>
          </w:p>
          <w:p>
            <w:pPr>
              <w:pStyle w:val="TableContents"/>
              <w:bidi w:val="0"/>
              <w:spacing w:before="0" w:after="283"/>
              <w:ind w:left="489"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Nothing in Article VII of the REFI Charter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shall preclude the settlement of any transaction entered into through the facilities of the NASDAQ or any other national securities exchange or automated inter-dealer quotation system. The fact that the settlement of any transaction occurs shall not negate the effect of any other provision of Article VII of the REFI Charter and any transferee in such a transaction shall be subject to all of the provisions and limitations set forth in Article VII of the REFI Charter.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1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78"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5" w:name="ny20077966x1_n14_139-comparison_pg10"/>
        <w:bookmarkEnd w:id="2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397"/>
        <w:gridCol w:w="140"/>
        <w:gridCol w:w="140"/>
        <w:gridCol w:w="1804"/>
        <w:gridCol w:w="140"/>
        <w:gridCol w:w="140"/>
        <w:gridCol w:w="6133"/>
        <w:gridCol w:w="156"/>
      </w:tblGrid>
      <w:tr>
        <w:trPr/>
        <w:tc>
          <w:tcPr>
            <w:tcW w:w="155" w:type="dxa"/>
            <w:tcBorders/>
            <w:vAlign w:val="center"/>
          </w:tcPr>
          <w:p>
            <w:pPr>
              <w:pStyle w:val="TableContents"/>
              <w:bidi w:val="0"/>
              <w:spacing w:before="0" w:after="0"/>
              <w:jc w:val="left"/>
              <w:rPr/>
            </w:pPr>
            <w:r>
              <w:rPr/>
              <w:t> </w:t>
            </w:r>
          </w:p>
        </w:tc>
        <w:tc>
          <w:tcPr>
            <w:tcW w:w="139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97"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LIEN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1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REFI Shareholders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397"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Required to Provide Information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LIEN does not have any requirements for shareholders to provide information in the LIEN Charter or LIEN Bylaws.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June 30, 2022 until the REFI Board determines that, pursuant to Section 5.7 of the REFI Charter, it is no longer in the best interest of REFI to attempt to, or continue to, qualify as a REIT or that compliance with the restrictions and limitations on beneficial ownership, constructive ownership and transfers of shares set forth in the REFI Charter is no longer required in order for REFI to qualify as a REIT, the following applies: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every owner of five percent or more (or such lower percentage as required by the Code or the Treasury Regulations promulgated thereunder) of the outstanding shares of such class of series of REFI stock, within 30 days after the end of each taxable year, shall give written notice to REFI stating the name and address of such owner, the number of shares of REFI stock beneficially owned and a description of the manner in which such shares are held. Each such owner shall provide promptly to REFI such additional information as REFI may request in order to determine the effect, if any, of such beneficial ownership on REFI’s status as a REIT and to ensure compliance with the REFI Stock Ownership Limit;</w:t>
            </w:r>
          </w:p>
          <w:p>
            <w:pPr>
              <w:pStyle w:val="TableContents"/>
              <w:bidi w:val="0"/>
              <w:spacing w:before="0" w:after="283"/>
              <w:ind w:left="422"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(b) </w:t>
            </w:r>
          </w:p>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each person who is a beneficial owner or constructive owner of REFI stock and each person (including the shareholder of record) who is holding REFI stock for a beneficial owner or constructive owner shall provide to REFI such information as REFI may request, in order to determine REFI’s status as a REIT and to comply with the requirements of any taxing authority or governmental authority or to determine such compliance.</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39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0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133"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7966x1_n14_140-regulation_pg1"/>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7" w:name="tREG"/>
      <w:bookmarkEnd w:id="257"/>
      <w:r>
        <w:rPr>
          <w:rFonts w:ascii="Times New Roman;Times;serif" w:hAnsi="Times New Roman;Times;serif"/>
          <w:b/>
          <w:color w:val="000000"/>
          <w:sz w:val="20"/>
        </w:rPr>
        <w:t xml:space="preserve">REGULATION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Business Development Company Regulations” in Part I of LIEN’s Annual Report on </w:t>
      </w:r>
      <w:hyperlink r:id="rId28">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with respect to LIEN. Following the BDC Election Time, REFI will be subject to the regulatory framework of the 1940 Act applicable to BDCs, as described in the LIEN disclosure incorporated above, and the combined company will continue to be subject to that framework following the Merger.</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pPr>
      <w:r>
        <w:rPr>
          <w:rFonts w:ascii="Times New Roman;Times;serif" w:hAnsi="Times New Roman;Times;serif"/>
          <w:i/>
          <w:color w:val="000000"/>
          <w:sz w:val="20"/>
        </w:rPr>
        <w:t xml:space="preserve">The information in “Item 1. Business — U.S. Federal Income Tax Considerations” in Part I of REFI’s Annual Report on </w:t>
      </w:r>
      <w:hyperlink r:id="rId29">
        <w:r>
          <w:rPr>
            <w:rStyle w:val="InternetLink"/>
          </w:rPr>
          <w:t>Form 10-K</w:t>
        </w:r>
      </w:hyperlink>
      <w:r>
        <w:rPr>
          <w:rFonts w:ascii="Times New Roman;Times;serif" w:hAnsi="Times New Roman;Times;serif"/>
          <w:i/>
          <w:color w:val="000000"/>
          <w:sz w:val="20"/>
        </w:rPr>
        <w:t xml:space="preserve"> for the fiscal year ended December 31, 2025 is incorporated herein by reference with respect to REFI.</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77966x1_n14_140-regulation_pg2"/>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9" w:name="tCUS"/>
      <w:bookmarkEnd w:id="259"/>
      <w:r>
        <w:rPr>
          <w:rFonts w:ascii="Times New Roman;Times;serif" w:hAnsi="Times New Roman;Times;serif"/>
          <w:b/>
          <w:color w:val="000000"/>
          <w:sz w:val="20"/>
        </w:rPr>
        <w:t xml:space="preserve">CUSTODIAN, TRANSFER AND DISTRIBUTION AND PAYING AGENT AND REGISTRAR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LIEN’s securities and loan documents are held by Western Alliance Trust Company, N.A. and Western Alliance Bank, pursuant to custodian agreements. The principal business address of Western Alliance Trust Company, N.A. is One East Washington Street, Ste 1400, Phoenix, AZ 85004, telephone number (617) 786-3000. The principal business address of Western Alliance Bank is One East Washington Street, Phoenix, AZ 85004, telephone number (602) 389-3500. Continental Stock Transfer &amp; Trust Company (“Continental) acts as LIEN’s and REFI’s transfer agent, dividend paying agent and registrar. The principal business address of Continental is 1 State St., 30th Floor, New York, NY 10004, telephone number (212) 509-4000.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7966x1_n14_140-regulation_pg3"/>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1" w:name="tBRO"/>
      <w:bookmarkEnd w:id="261"/>
      <w:r>
        <w:rPr>
          <w:rFonts w:ascii="Times New Roman;Times;serif" w:hAnsi="Times New Roman;Times;serif"/>
          <w:b/>
          <w:color w:val="000000"/>
          <w:sz w:val="20"/>
        </w:rPr>
        <w:t xml:space="preserve">BROKERAGE ALLOCATION AND OTHER PRACTICES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LIEN and REFI will acquire and dispose of many of their investments in privately negotiated transactions, many of the transactions that LIEN and REFI engage in will not require the use of brokers or the payment of brokerage commissions. Subject to policies established by the LIEN Board and the REFI Board, LIEN Adviser and REFI Manager, as applicable, will be primarily responsible for selecting brokers and dealers to execute transactions with respect to the publicly traded securities portion of LIEN’s and REFI’s portfolio transactions and the allocation of brokerage commissions. LIEN Adviser and REFI Manager do not expect to execute transactions through any particular broker or dealer but will seek to obtain the best net results for LIEN and REFI, as applicable, under the circumstances, taking into account such factors as price (including the applicable brokerage commission or dealer spread), size of order, difficulty of execution and operational facilities of the firm and the firm’s risk and skill in positioning blocks of securities. LIEN Adviser and REFI Manager generally will seek reasonably competitive trade execution costs but will not necessarily pay the lowest spread or commission available. Subject to applicable legal requirements and consistent with Section 28(e) of the Exchange Act, LIEN Adviser and REFI Manager may select a broker based upon brokerage or research services provided to LIEN Adviser, REFI Manager, LIEN, REFI and any other clients. In return for such services, LIEN or REFI may pay a higher commission than other brokers would charge if LIEN Adviser or REFI Manager determines in good faith that such commission is reasonable in relation to the services provided.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7966x1_n14_141-legal_pg1"/>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3" w:name="tLM"/>
      <w:bookmarkEnd w:id="263"/>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Eversheds Sutherland (US) LLP, located at 700 Sixth Street, N.W., Suite 700, Washington, DC 20001, serves as LIEN’s legal counsel. Certain legal matters regarding the validity of the securities being offered by this joint proxy statement/prospectus will be passed upon for LIEN by Baker, Donelson, Bearman, Caldwell &amp; Berkowitz, PC, Baltimore, MD.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7966x1_n14_141-legal_pg2"/>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5" w:name="tEXP"/>
      <w:bookmarkEnd w:id="265"/>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financial statements of LIEN as of December 31, 2025 and 2024 and for each of the three years in the period ended December 31, 2025, incorporated by reference in this joint proxy statement/prospectus have been so incorporated in reliance on the report of BDO USA, P.C., an independent registered public accounting firm, given on the authority of said firm as experts in auditing and accounting.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REFI as of December 31, 2025 and 2024 and for each of the years then ended, incorporated by reference in this joint proxy statement/prospectus have been so incorporated in reliance on the report of BDO USA, P.C., an independent registered public accounting firm, given on the authority of said firm as experts in auditing and accounting.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77966x1_n14_141-legal_pg3"/>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7" w:name="tOM"/>
      <w:bookmarkEnd w:id="267"/>
      <w:r>
        <w:rPr>
          <w:rFonts w:ascii="Times New Roman;Times;serif" w:hAnsi="Times New Roman;Times;serif"/>
          <w:b/>
          <w:color w:val="000000"/>
          <w:sz w:val="20"/>
        </w:rPr>
        <w:t xml:space="preserve">OTHER MATTERS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Board knows of no other matter that is likely to come before the LIEN Special Meeting or that may properly come before the REFI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LIEN Bylaws, if less than a quorum is present at the LIEN Special Meeting or if an insufficient number of votes is present for the adoption of the LIEN Proposals at such meeting, the chairman of the LIEN Special Meeting will have the power to adjourn the LIEN Special Meeting from time to time to a date not more than 120 days after the original record date without notice other than announcement at the LIEN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REFI Board knows of no other matter that is likely to come before the REFI Special Meeting or that may properly come before the LIEN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REFI Bylaws, if less than a quorum is present at the REFI Special Meeting or if an insufficient number of votes is present for the adoption of the REFI Proposals at such meeting, the chairman of the REFI Special Meeting will have the power to adjourn the REFI Special Meeting from time to time to a date not more than 120 days after the original record date without notice other than announcement at the REFI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7966x1_n14_141-legal_pg4"/>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9" w:name="tSSA"/>
      <w:bookmarkEnd w:id="269"/>
      <w:r>
        <w:rPr>
          <w:rFonts w:ascii="Times New Roman;Times;serif" w:hAnsi="Times New Roman;Times;serif"/>
          <w:b/>
          <w:color w:val="000000"/>
          <w:sz w:val="20"/>
        </w:rPr>
        <w:t xml:space="preserve">SHAREHOLDERS SHARING AN ADDRESS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one copy of this joint proxy statement/prospectus may be delivered to two or more shareholders of LIEN or REFI who share an address, unless contrary instructions from one or more of such shareholders have been provided to LIEN or REFI,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written or oral request, LIEN or REFI, as applicable, will deliver promptly a separate copy of this joint proxy statement/prospectus to a shareholder at a shared address to which a single copy of this joint proxy statement/prospectus was delivered. Shareholders sharing an address who wish, in the future, to receive separate copies or a single copy of LIEN’s or REFI’s proxy statements and annual reports should provide written or oral notice to LIEN or REFI, as applicable, at [   ], Attention: [   ] or by calling collect at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7966x1_n14_142-info_pg1"/>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1" w:name="tWYC"/>
      <w:bookmarkEnd w:id="271"/>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filed with the SEC a registration statement on Form N-14 (of which this joint proxy statement/prospectus is a part), together with all amendments and related exhibits, under the Securities Act. The registration statement contains additional information about LIEN and the securities being offered by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LIEN and REFI files with or submits to the SEC annual, quarterly and current reports, proxy statements and other information meeting the informational requirements of the Exchange Act. The SEC maintains a website that contains reports, proxy and information statements and other information LIEN and REFI file with the SEC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these reports, proxy and information statements and other information may also be obtained, after paying a duplicating fee, by electronic request at the following e-mail address: </w:t>
      </w:r>
      <w:r>
        <w:rPr>
          <w:rFonts w:ascii="Times New Roman;Times;serif" w:hAnsi="Times New Roman;Times;serif"/>
          <w:i/>
          <w:color w:val="000000"/>
          <w:sz w:val="20"/>
        </w:rPr>
        <w:t>publicinfo@sec.gov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maintains a website at </w:t>
      </w:r>
      <w:r>
        <w:rPr>
          <w:rFonts w:ascii="Times New Roman;Times;serif" w:hAnsi="Times New Roman;Times;serif"/>
          <w:i/>
          <w:color w:val="000000"/>
          <w:sz w:val="20"/>
        </w:rPr>
        <w:t xml:space="preserve">www.lien.chicagoatlantic.com </w:t>
      </w:r>
      <w:r>
        <w:rPr>
          <w:rFonts w:ascii="Times New Roman;Times;serif" w:hAnsi="Times New Roman;Times;serif"/>
          <w:color w:val="000000"/>
          <w:sz w:val="20"/>
        </w:rPr>
        <w:t xml:space="preserve">and makes all of its annual, quarterly and current reports, proxy statements and other publicly filed information available, free of charge, on or through its website. REFI maintains a website at </w:t>
      </w:r>
      <w:r>
        <w:rPr>
          <w:rFonts w:ascii="Times New Roman;Times;serif" w:hAnsi="Times New Roman;Times;serif"/>
          <w:i/>
          <w:color w:val="000000"/>
          <w:sz w:val="20"/>
        </w:rPr>
        <w:t xml:space="preserve">www.refi.reit </w:t>
      </w:r>
      <w:r>
        <w:rPr>
          <w:rFonts w:ascii="Times New Roman;Times;serif" w:hAnsi="Times New Roman;Times;serif"/>
          <w:color w:val="000000"/>
          <w:sz w:val="20"/>
        </w:rPr>
        <w:t xml:space="preserve">and makes all of its annual, quarterly and current reports, proxy statements and other publicly filed information available, free of charge, on or through its website. Except for documents incorporated by reference into this joint proxy statement/prospectus and any accompanying prospectus supplement, information contained on such website is not incorporated by reference into this joint proxy statement/prospectus. You may also request a copy of these filings (other than exhibits, unless the exhibits are specifically incorporated by reference into these documents) at no cost by writing, emailing or calling LIEN or REFI at the following address and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LIEN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600 Madison Avenue, Suite 1800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10022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(312) 625-9295</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REFI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420 N. Wabash Avenue, Suite 500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Chicago, IL 60611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(312) 625-9295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7966x1_n14_143-incorp_pg1"/>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3" w:name="tIBRL"/>
      <w:bookmarkEnd w:id="273"/>
      <w:r>
        <w:rPr>
          <w:rFonts w:ascii="Times New Roman;Times;serif" w:hAnsi="Times New Roman;Times;serif"/>
          <w:b/>
          <w:color w:val="000000"/>
          <w:sz w:val="20"/>
        </w:rPr>
        <w:t xml:space="preserve">INCORPORATION BY REFERENCE FOR LIEN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part of a registration statement that LIEN has filed with the SEC. LIEN is allowed to “incorporate by reference” the information that it files with the SEC, which means LIEN can disclose important information to you by referring you to those documents. The information incorporated by reference is considered to be part of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and any prospectus supplement incorporate by reference the documents set forth below that have previously been filed with the SEC: </w:t>
      </w:r>
    </w:p>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Annual Report on Form 10-K for the fiscal year ended December 31, 2025, filed with the SEC on </w:t>
            </w:r>
            <w:hyperlink r:id="rId30">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Quarterly Report on Form 10-Q for the three months ended March 31, 2026, filed with the SEC on </w:t>
            </w:r>
            <w:hyperlink r:id="rId31">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Definitive Proxy Statement on Schedule 14A, filed with the SEC on </w:t>
            </w:r>
            <w:hyperlink r:id="rId32">
              <w:r>
                <w:rPr>
                  <w:rStyle w:val="InternetLink"/>
                  <w:rFonts w:ascii="Times New Roman;Times;serif" w:hAnsi="Times New Roman;Times;serif"/>
                  <w:color w:val="000080"/>
                  <w:sz w:val="20"/>
                </w:rPr>
                <w:t>April 30, 2026</w:t>
              </w:r>
            </w:hyperlink>
            <w:r>
              <w:rPr>
                <w:rFonts w:ascii="Times New Roman;Times;serif" w:hAnsi="Times New Roman;Times;serif"/>
                <w:color w:val="000000"/>
                <w:sz w:val="20"/>
              </w:rPr>
              <w:t xml:space="preserve"> (Annual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LIEN’s Current Reports on Form 8-K filed with the SEC on </w:t>
            </w:r>
            <w:hyperlink r:id="rId33">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hyperlink r:id="rId34">
              <w:r>
                <w:rPr>
                  <w:rStyle w:val="InternetLink"/>
                  <w:rFonts w:ascii="Times New Roman;Times;serif" w:hAnsi="Times New Roman;Times;serif"/>
                  <w:color w:val="000080"/>
                  <w:sz w:val="20"/>
                </w:rPr>
                <w:t>April 14, 2026</w:t>
              </w:r>
            </w:hyperlink>
            <w:r>
              <w:rPr>
                <w:rFonts w:ascii="Times New Roman;Times;serif" w:hAnsi="Times New Roman;Times;serif"/>
                <w:color w:val="000000"/>
                <w:sz w:val="20"/>
              </w:rPr>
              <w:t xml:space="preserve">, </w:t>
            </w:r>
            <w:hyperlink r:id="rId35">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and </w:t>
            </w:r>
            <w:hyperlink r:id="rId36">
              <w:r>
                <w:rPr>
                  <w:rStyle w:val="InternetLink"/>
                  <w:rFonts w:ascii="Times New Roman;Times;serif" w:hAnsi="Times New Roman;Times;serif"/>
                  <w:color w:val="000080"/>
                  <w:sz w:val="20"/>
                </w:rPr>
                <w:t>June 18, 2026</w:t>
              </w:r>
            </w:hyperlink>
            <w:r>
              <w:rPr>
                <w:rFonts w:ascii="Times New Roman;Times;serif" w:hAnsi="Times New Roman;Times;serif"/>
                <w:color w:val="000000"/>
                <w:sz w:val="20"/>
              </w:rPr>
              <w:t xml:space="preserve">, excluding the portions of these documents that are furnished under Item 2.02 or Item 7.01 of the Current Report on Form 8-K, as applicable.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obtain a copy of this filing,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77966x1_n14_144-incorp01_pg1"/>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5" w:name="tIBRR"/>
      <w:bookmarkEnd w:id="275"/>
      <w:r>
        <w:rPr>
          <w:rFonts w:ascii="Times New Roman;Times;serif" w:hAnsi="Times New Roman;Times;serif"/>
          <w:b/>
          <w:color w:val="000000"/>
          <w:sz w:val="20"/>
        </w:rPr>
        <w:t xml:space="preserve">INCORPORATION BY REFERENCE FOR REFI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part of a registration statement that REFI has filed with the SEC. REFI is allowed to “incorporate by reference” the information that it files with the SEC, which means REFI can disclose important information to you by referring you to those documents. The information incorporated by reference is considered to be part of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and any prospectus supplement incorporate by reference the documents set forth below that have previously been filed with the SEC: </w:t>
      </w:r>
    </w:p>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Annual Report on Form 10-K for the fiscal year ended December 31, 2025, filed with the SEC on </w:t>
            </w:r>
            <w:hyperlink r:id="rId37">
              <w:r>
                <w:rPr>
                  <w:rStyle w:val="InternetLink"/>
                  <w:rFonts w:ascii="Times New Roman;Times;serif" w:hAnsi="Times New Roman;Times;serif"/>
                  <w:color w:val="000080"/>
                  <w:sz w:val="20"/>
                </w:rPr>
                <w:t>March 12, 2026</w:t>
              </w:r>
            </w:hyperlink>
            <w:r>
              <w:rPr>
                <w:rFonts w:ascii="Times New Roman;Times;serif" w:hAnsi="Times New Roman;Times;serif"/>
                <w:color w:val="000000"/>
                <w:sz w:val="20"/>
              </w:rPr>
              <w:t xml:space="preserve">;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Quarterly Report on Form 10-Q for the three months ended March 31, 2026, filed with the SEC on </w:t>
            </w:r>
            <w:hyperlink r:id="rId38">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p>
        </w:tc>
      </w:tr>
    </w:tbl>
    <w:tbl>
      <w:tblPr>
        <w:tblW w:w="10030" w:type="dxa"/>
        <w:jc w:val="left"/>
        <w:tblInd w:w="0" w:type="dxa"/>
        <w:tblLayout w:type="fixed"/>
        <w:tblCellMar>
          <w:top w:w="0" w:type="dxa"/>
          <w:left w:w="0" w:type="dxa"/>
          <w:bottom w:w="0" w:type="dxa"/>
          <w:right w:w="0" w:type="dxa"/>
        </w:tblCellMar>
      </w:tblPr>
      <w:tblGrid>
        <w:gridCol w:w="110"/>
        <w:gridCol w:w="9920"/>
      </w:tblGrid>
      <w:tr>
        <w:trPr/>
        <w:tc>
          <w:tcPr>
            <w:tcW w:w="110" w:type="dxa"/>
            <w:tcBorders/>
            <w:vAlign w:val="center"/>
          </w:tcPr>
          <w:p>
            <w:pPr>
              <w:pStyle w:val="TableContents"/>
              <w:bidi w:val="0"/>
              <w:spacing w:before="0" w:after="0"/>
              <w:jc w:val="left"/>
              <w:rPr>
                <w:color w:val="000000"/>
              </w:rPr>
            </w:pPr>
            <w:r>
              <w:rPr>
                <w:color w:val="000000"/>
              </w:rPr>
              <w:t>•</w:t>
            </w:r>
          </w:p>
        </w:tc>
        <w:tc>
          <w:tcPr>
            <w:tcW w:w="9920"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Definitive Proxy Statement on Schedule 14A, filed with the SEC on </w:t>
            </w:r>
            <w:hyperlink r:id="rId39">
              <w:r>
                <w:rPr>
                  <w:rStyle w:val="InternetLink"/>
                  <w:rFonts w:ascii="Times New Roman;Times;serif" w:hAnsi="Times New Roman;Times;serif"/>
                  <w:color w:val="000080"/>
                  <w:sz w:val="20"/>
                </w:rPr>
                <w:t>April 23, 2026</w:t>
              </w:r>
            </w:hyperlink>
            <w:r>
              <w:rPr>
                <w:rFonts w:ascii="Times New Roman;Times;serif" w:hAnsi="Times New Roman;Times;serif"/>
                <w:color w:val="000000"/>
                <w:sz w:val="20"/>
              </w:rPr>
              <w:t xml:space="preserve"> (Annual Proxy Statement);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REFI’s Current Reports on Form 8-K filed with the SEC on </w:t>
            </w:r>
            <w:hyperlink r:id="rId40">
              <w:r>
                <w:rPr>
                  <w:rStyle w:val="InternetLink"/>
                  <w:rFonts w:ascii="Times New Roman;Times;serif" w:hAnsi="Times New Roman;Times;serif"/>
                  <w:color w:val="000080"/>
                  <w:sz w:val="20"/>
                </w:rPr>
                <w:t>March 12, 2026</w:t>
              </w:r>
            </w:hyperlink>
            <w:r>
              <w:rPr>
                <w:rFonts w:ascii="Times New Roman;Times;serif" w:hAnsi="Times New Roman;Times;serif"/>
                <w:color w:val="000000"/>
                <w:sz w:val="20"/>
              </w:rPr>
              <w:t xml:space="preserve">, </w:t>
            </w:r>
            <w:hyperlink r:id="rId41">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hyperlink r:id="rId42">
              <w:r>
                <w:rPr>
                  <w:rStyle w:val="InternetLink"/>
                  <w:rFonts w:ascii="Times New Roman;Times;serif" w:hAnsi="Times New Roman;Times;serif"/>
                  <w:color w:val="000080"/>
                  <w:sz w:val="20"/>
                </w:rPr>
                <w:t>June 11, 2026</w:t>
              </w:r>
            </w:hyperlink>
            <w:r>
              <w:rPr>
                <w:rFonts w:ascii="Times New Roman;Times;serif" w:hAnsi="Times New Roman;Times;serif"/>
                <w:color w:val="000000"/>
                <w:sz w:val="20"/>
              </w:rPr>
              <w:t xml:space="preserve">, </w:t>
            </w:r>
            <w:hyperlink r:id="rId43">
              <w:r>
                <w:rPr>
                  <w:rStyle w:val="InternetLink"/>
                  <w:rFonts w:ascii="Times New Roman;Times;serif" w:hAnsi="Times New Roman;Times;serif"/>
                  <w:color w:val="000080"/>
                  <w:sz w:val="20"/>
                </w:rPr>
                <w:t>June 18, 2026</w:t>
              </w:r>
            </w:hyperlink>
            <w:r>
              <w:rPr>
                <w:rFonts w:ascii="Times New Roman;Times;serif" w:hAnsi="Times New Roman;Times;serif"/>
                <w:color w:val="000000"/>
                <w:sz w:val="20"/>
              </w:rPr>
              <w:t xml:space="preserve"> and </w:t>
            </w:r>
            <w:hyperlink r:id="rId44">
              <w:r>
                <w:rPr>
                  <w:rStyle w:val="InternetLink"/>
                  <w:rFonts w:ascii="Times New Roman;Times;serif" w:hAnsi="Times New Roman;Times;serif"/>
                  <w:color w:val="000080"/>
                  <w:sz w:val="20"/>
                </w:rPr>
                <w:t>July 13, 2026</w:t>
              </w:r>
            </w:hyperlink>
            <w:r>
              <w:rPr>
                <w:rFonts w:ascii="Times New Roman;Times;serif" w:hAnsi="Times New Roman;Times;serif"/>
                <w:color w:val="000000"/>
                <w:sz w:val="20"/>
              </w:rPr>
              <w:t xml:space="preserve">, excluding the portion of these documents that are furnished under Item 2.02 or Item 7.01 of the Current Report on Form 8-K, as applicable.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obtain a copy of this filing,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7966x1_n14_300-annexa_pg1"/>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Annex A</w:t>
      </w:r>
    </w:p>
    <w:p>
      <w:pPr>
        <w:pStyle w:val="TextBody"/>
        <w:bidi w:val="0"/>
        <w:spacing w:before="0" w:after="283"/>
        <w:jc w:val="right"/>
        <w:rPr>
          <w:color w:val="000000"/>
        </w:rPr>
      </w:pPr>
      <w:r>
        <w:rPr>
          <w:color w:val="000000"/>
        </w:rPr>
        <w:t xml:space="preserve">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EXECUTION VERSION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ADVISERS, LLC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limited purposes set forth herein)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REIT MANAGER, LLC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limited purposes set forth herein)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June 17,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77966x1_n14_300-annexa_pg2"/>
        <w:bookmarkEnd w:id="2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tbl>
      <w:tblPr>
        <w:tblW w:w="7158" w:type="dxa"/>
        <w:jc w:val="left"/>
        <w:tblInd w:w="0" w:type="dxa"/>
        <w:tblLayout w:type="fixed"/>
        <w:tblCellMar>
          <w:top w:w="0" w:type="dxa"/>
          <w:left w:w="0" w:type="dxa"/>
          <w:bottom w:w="0" w:type="dxa"/>
          <w:right w:w="0" w:type="dxa"/>
        </w:tblCellMar>
      </w:tblPr>
      <w:tblGrid>
        <w:gridCol w:w="541"/>
        <w:gridCol w:w="191"/>
        <w:gridCol w:w="191"/>
        <w:gridCol w:w="5515"/>
        <w:gridCol w:w="140"/>
        <w:gridCol w:w="140"/>
        <w:gridCol w:w="440"/>
      </w:tblGrid>
      <w:tr>
        <w:trPr/>
        <w:tc>
          <w:tcPr>
            <w:tcW w:w="54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41"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438" w:type="dxa"/>
            <w:gridSpan w:val="4"/>
            <w:tcBorders/>
            <w:shd w:fill="CCEEFF" w:val="clear"/>
            <w:vAlign w:val="center"/>
          </w:tcPr>
          <w:p>
            <w:pPr>
              <w:pStyle w:val="TableContents"/>
              <w:bidi w:val="0"/>
              <w:spacing w:before="0" w:after="283"/>
              <w:jc w:val="center"/>
              <w:rPr/>
            </w:pPr>
            <w:hyperlink w:anchor="tANXAA1">
              <w:r>
                <w:rPr>
                  <w:rStyle w:val="InternetLink"/>
                  <w:rFonts w:ascii="Times New Roman;Times;serif" w:hAnsi="Times New Roman;Times;serif"/>
                  <w:color w:val="000000"/>
                  <w:sz w:val="20"/>
                </w:rPr>
                <w:t>ARTICLE I THE BDC ELECTION AND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1">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1">
              <w:r>
                <w:rPr>
                  <w:rStyle w:val="InternetLink"/>
                  <w:rFonts w:ascii="Times New Roman;Times;serif" w:hAnsi="Times New Roman;Times;serif"/>
                  <w:color w:val="000000"/>
                  <w:sz w:val="20"/>
                </w:rPr>
                <w:t>1.1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BDC Election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
              <w:r>
                <w:rPr>
                  <w:rStyle w:val="InternetLink"/>
                  <w:rFonts w:ascii="Times New Roman;Times;serif" w:hAnsi="Times New Roman;Times;serif"/>
                  <w:color w:val="000000"/>
                  <w:sz w:val="20"/>
                </w:rPr>
                <w:t>A-2</w:t>
              </w:r>
            </w:hyperlink>
          </w:p>
        </w:tc>
      </w:tr>
      <w:tr>
        <w:trPr/>
        <w:tc>
          <w:tcPr>
            <w:tcW w:w="541" w:type="dxa"/>
            <w:tcBorders/>
            <w:shd w:fill="CCEEFF" w:val="clear"/>
            <w:vAlign w:val="center"/>
          </w:tcPr>
          <w:p>
            <w:pPr>
              <w:pStyle w:val="TableContents"/>
              <w:bidi w:val="0"/>
              <w:spacing w:before="0" w:after="283"/>
              <w:jc w:val="center"/>
              <w:rPr/>
            </w:pPr>
            <w:hyperlink w:anchor="tANXAS12">
              <w:r>
                <w:rPr>
                  <w:rStyle w:val="InternetLink"/>
                  <w:rFonts w:ascii="Times New Roman;Times;serif" w:hAnsi="Times New Roman;Times;serif"/>
                  <w:color w:val="000000"/>
                  <w:sz w:val="20"/>
                </w:rPr>
                <w:t>1.2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2">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3">
              <w:r>
                <w:rPr>
                  <w:rStyle w:val="InternetLink"/>
                  <w:rFonts w:ascii="Times New Roman;Times;serif" w:hAnsi="Times New Roman;Times;serif"/>
                  <w:color w:val="000000"/>
                  <w:sz w:val="20"/>
                </w:rPr>
                <w:t>1.3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3">
              <w:r>
                <w:rPr>
                  <w:rStyle w:val="InternetLink"/>
                  <w:rFonts w:ascii="Times New Roman;Times;serif" w:hAnsi="Times New Roman;Times;serif"/>
                  <w:color w:val="000000"/>
                  <w:sz w:val="20"/>
                </w:rPr>
                <w:t>A-2</w:t>
              </w:r>
            </w:hyperlink>
          </w:p>
        </w:tc>
      </w:tr>
      <w:tr>
        <w:trPr/>
        <w:tc>
          <w:tcPr>
            <w:tcW w:w="541" w:type="dxa"/>
            <w:tcBorders/>
            <w:shd w:fill="CCEEFF" w:val="clear"/>
            <w:vAlign w:val="center"/>
          </w:tcPr>
          <w:p>
            <w:pPr>
              <w:pStyle w:val="TableContents"/>
              <w:bidi w:val="0"/>
              <w:spacing w:before="0" w:after="283"/>
              <w:jc w:val="center"/>
              <w:rPr/>
            </w:pPr>
            <w:hyperlink w:anchor="tANXAS14">
              <w:r>
                <w:rPr>
                  <w:rStyle w:val="InternetLink"/>
                  <w:rFonts w:ascii="Times New Roman;Times;serif" w:hAnsi="Times New Roman;Times;serif"/>
                  <w:color w:val="000000"/>
                  <w:sz w:val="20"/>
                </w:rPr>
                <w:t>1.4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Merger Effective Time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4">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5">
              <w:r>
                <w:rPr>
                  <w:rStyle w:val="InternetLink"/>
                  <w:rFonts w:ascii="Times New Roman;Times;serif" w:hAnsi="Times New Roman;Times;serif"/>
                  <w:color w:val="000000"/>
                  <w:sz w:val="20"/>
                </w:rPr>
                <w:t>1.5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5">
              <w:r>
                <w:rPr>
                  <w:rStyle w:val="InternetLink"/>
                  <w:rFonts w:ascii="Times New Roman;Times;serif" w:hAnsi="Times New Roman;Times;serif"/>
                  <w:color w:val="000000"/>
                  <w:sz w:val="20"/>
                </w:rPr>
                <w:t>A-2</w:t>
              </w:r>
            </w:hyperlink>
          </w:p>
        </w:tc>
      </w:tr>
      <w:tr>
        <w:trPr/>
        <w:tc>
          <w:tcPr>
            <w:tcW w:w="541" w:type="dxa"/>
            <w:tcBorders/>
            <w:shd w:fill="CCEEFF" w:val="clear"/>
            <w:vAlign w:val="center"/>
          </w:tcPr>
          <w:p>
            <w:pPr>
              <w:pStyle w:val="TableContents"/>
              <w:bidi w:val="0"/>
              <w:spacing w:before="0" w:after="283"/>
              <w:jc w:val="center"/>
              <w:rPr/>
            </w:pPr>
            <w:hyperlink w:anchor="tANXAS16">
              <w:r>
                <w:rPr>
                  <w:rStyle w:val="InternetLink"/>
                  <w:rFonts w:ascii="Times New Roman;Times;serif" w:hAnsi="Times New Roman;Times;serif"/>
                  <w:color w:val="000000"/>
                  <w:sz w:val="20"/>
                </w:rPr>
                <w:t>1.6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6">
              <w:r>
                <w:rPr>
                  <w:rStyle w:val="InternetLink"/>
                  <w:rFonts w:ascii="Times New Roman;Times;serif" w:hAnsi="Times New Roman;Times;serif"/>
                  <w:color w:val="000000"/>
                  <w:sz w:val="20"/>
                </w:rPr>
                <w:t>Conversion of Capital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6">
              <w:r>
                <w:rPr>
                  <w:rStyle w:val="InternetLink"/>
                  <w:rFonts w:ascii="Times New Roman;Times;serif" w:hAnsi="Times New Roman;Times;serif"/>
                  <w:color w:val="000000"/>
                  <w:sz w:val="20"/>
                </w:rPr>
                <w:t>A-2</w:t>
              </w:r>
            </w:hyperlink>
          </w:p>
        </w:tc>
      </w:tr>
      <w:tr>
        <w:trPr/>
        <w:tc>
          <w:tcPr>
            <w:tcW w:w="541" w:type="dxa"/>
            <w:tcBorders/>
            <w:vAlign w:val="center"/>
          </w:tcPr>
          <w:p>
            <w:pPr>
              <w:pStyle w:val="TableContents"/>
              <w:bidi w:val="0"/>
              <w:spacing w:before="0" w:after="283"/>
              <w:jc w:val="center"/>
              <w:rPr/>
            </w:pPr>
            <w:hyperlink w:anchor="tANXAS17">
              <w:r>
                <w:rPr>
                  <w:rStyle w:val="InternetLink"/>
                  <w:rFonts w:ascii="Times New Roman;Times;serif" w:hAnsi="Times New Roman;Times;serif"/>
                  <w:color w:val="000000"/>
                  <w:sz w:val="20"/>
                </w:rPr>
                <w:t>1.7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7">
              <w:r>
                <w:rPr>
                  <w:rStyle w:val="InternetLink"/>
                  <w:rFonts w:ascii="Times New Roman;Times;serif" w:hAnsi="Times New Roman;Times;serif"/>
                  <w:color w:val="000000"/>
                  <w:sz w:val="20"/>
                </w:rPr>
                <w:t>Termination of Certain Contractual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7">
              <w:r>
                <w:rPr>
                  <w:rStyle w:val="InternetLink"/>
                  <w:rFonts w:ascii="Times New Roman;Times;serif" w:hAnsi="Times New Roman;Times;serif"/>
                  <w:color w:val="000000"/>
                  <w:sz w:val="20"/>
                </w:rPr>
                <w:t>A-3</w:t>
              </w:r>
            </w:hyperlink>
          </w:p>
        </w:tc>
      </w:tr>
      <w:tr>
        <w:trPr/>
        <w:tc>
          <w:tcPr>
            <w:tcW w:w="541" w:type="dxa"/>
            <w:tcBorders/>
            <w:shd w:fill="CCEEFF" w:val="clear"/>
            <w:vAlign w:val="center"/>
          </w:tcPr>
          <w:p>
            <w:pPr>
              <w:pStyle w:val="TableContents"/>
              <w:bidi w:val="0"/>
              <w:spacing w:before="0" w:after="283"/>
              <w:jc w:val="center"/>
              <w:rPr/>
            </w:pPr>
            <w:hyperlink w:anchor="tANXAS18">
              <w:r>
                <w:rPr>
                  <w:rStyle w:val="InternetLink"/>
                  <w:rFonts w:ascii="Times New Roman;Times;serif" w:hAnsi="Times New Roman;Times;serif"/>
                  <w:color w:val="000000"/>
                  <w:sz w:val="20"/>
                </w:rPr>
                <w:t>1.8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18">
              <w:r>
                <w:rPr>
                  <w:rStyle w:val="InternetLink"/>
                  <w:rFonts w:ascii="Times New Roman;Times;serif" w:hAnsi="Times New Roman;Times;serif"/>
                  <w:color w:val="000000"/>
                  <w:sz w:val="20"/>
                </w:rPr>
                <w:t>Articles of Incorporation and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8">
              <w:r>
                <w:rPr>
                  <w:rStyle w:val="InternetLink"/>
                  <w:rFonts w:ascii="Times New Roman;Times;serif" w:hAnsi="Times New Roman;Times;serif"/>
                  <w:color w:val="000000"/>
                  <w:sz w:val="20"/>
                </w:rPr>
                <w:t>A-3</w:t>
              </w:r>
            </w:hyperlink>
          </w:p>
        </w:tc>
      </w:tr>
      <w:tr>
        <w:trPr/>
        <w:tc>
          <w:tcPr>
            <w:tcW w:w="541" w:type="dxa"/>
            <w:tcBorders/>
            <w:vAlign w:val="center"/>
          </w:tcPr>
          <w:p>
            <w:pPr>
              <w:pStyle w:val="TableContents"/>
              <w:bidi w:val="0"/>
              <w:spacing w:before="0" w:after="283"/>
              <w:jc w:val="center"/>
              <w:rPr/>
            </w:pPr>
            <w:hyperlink w:anchor="tANXAS19">
              <w:r>
                <w:rPr>
                  <w:rStyle w:val="InternetLink"/>
                  <w:rFonts w:ascii="Times New Roman;Times;serif" w:hAnsi="Times New Roman;Times;serif"/>
                  <w:color w:val="000000"/>
                  <w:sz w:val="20"/>
                </w:rPr>
                <w:t>1.9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19">
              <w:r>
                <w:rPr>
                  <w:rStyle w:val="InternetLink"/>
                  <w:rFonts w:ascii="Times New Roman;Times;serif" w:hAnsi="Times New Roman;Times;serif"/>
                  <w:color w:val="000000"/>
                  <w:sz w:val="20"/>
                </w:rPr>
                <w:t>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9">
              <w:r>
                <w:rPr>
                  <w:rStyle w:val="InternetLink"/>
                  <w:rFonts w:ascii="Times New Roman;Times;serif" w:hAnsi="Times New Roman;Times;serif"/>
                  <w:color w:val="000000"/>
                  <w:sz w:val="20"/>
                </w:rPr>
                <w:t>A-3</w:t>
              </w:r>
            </w:hyperlink>
          </w:p>
        </w:tc>
      </w:tr>
      <w:tr>
        <w:trPr/>
        <w:tc>
          <w:tcPr>
            <w:tcW w:w="6438" w:type="dxa"/>
            <w:gridSpan w:val="4"/>
            <w:tcBorders/>
            <w:shd w:fill="CCEEFF" w:val="clear"/>
            <w:vAlign w:val="center"/>
          </w:tcPr>
          <w:p>
            <w:pPr>
              <w:pStyle w:val="TableContents"/>
              <w:bidi w:val="0"/>
              <w:spacing w:before="0" w:after="283"/>
              <w:jc w:val="center"/>
              <w:rPr/>
            </w:pPr>
            <w:hyperlink w:anchor="tANXAA2">
              <w:r>
                <w:rPr>
                  <w:rStyle w:val="InternetLink"/>
                  <w:rFonts w:ascii="Times New Roman;Times;serif" w:hAnsi="Times New Roman;Times;serif"/>
                  <w:color w:val="000000"/>
                  <w:sz w:val="20"/>
                </w:rPr>
                <w:t>ARTICLE II 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2">
              <w:r>
                <w:rPr>
                  <w:rStyle w:val="InternetLink"/>
                  <w:rFonts w:ascii="Times New Roman;Times;serif" w:hAnsi="Times New Roman;Times;serif"/>
                  <w:color w:val="000000"/>
                  <w:sz w:val="20"/>
                </w:rPr>
                <w:t>A-3</w:t>
              </w:r>
            </w:hyperlink>
          </w:p>
        </w:tc>
      </w:tr>
      <w:tr>
        <w:trPr/>
        <w:tc>
          <w:tcPr>
            <w:tcW w:w="541" w:type="dxa"/>
            <w:tcBorders/>
            <w:vAlign w:val="center"/>
          </w:tcPr>
          <w:p>
            <w:pPr>
              <w:pStyle w:val="TableContents"/>
              <w:bidi w:val="0"/>
              <w:spacing w:before="0" w:after="283"/>
              <w:jc w:val="center"/>
              <w:rPr/>
            </w:pPr>
            <w:hyperlink w:anchor="tANXAS21">
              <w:r>
                <w:rPr>
                  <w:rStyle w:val="InternetLink"/>
                  <w:rFonts w:ascii="Times New Roman;Times;serif" w:hAnsi="Times New Roman;Times;serif"/>
                  <w:color w:val="000000"/>
                  <w:sz w:val="20"/>
                </w:rPr>
                <w:t>2.1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Delivery of Evidence of Acquiror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1">
              <w:r>
                <w:rPr>
                  <w:rStyle w:val="InternetLink"/>
                  <w:rFonts w:ascii="Times New Roman;Times;serif" w:hAnsi="Times New Roman;Times;serif"/>
                  <w:color w:val="000000"/>
                  <w:sz w:val="20"/>
                </w:rPr>
                <w:t>A-3</w:t>
              </w:r>
            </w:hyperlink>
          </w:p>
        </w:tc>
      </w:tr>
      <w:tr>
        <w:trPr/>
        <w:tc>
          <w:tcPr>
            <w:tcW w:w="541" w:type="dxa"/>
            <w:tcBorders/>
            <w:shd w:fill="CCEEFF" w:val="clear"/>
            <w:vAlign w:val="center"/>
          </w:tcPr>
          <w:p>
            <w:pPr>
              <w:pStyle w:val="TableContents"/>
              <w:bidi w:val="0"/>
              <w:spacing w:before="0" w:after="283"/>
              <w:jc w:val="center"/>
              <w:rPr/>
            </w:pPr>
            <w:hyperlink w:anchor="tANXAS22">
              <w:r>
                <w:rPr>
                  <w:rStyle w:val="InternetLink"/>
                  <w:rFonts w:ascii="Times New Roman;Times;serif" w:hAnsi="Times New Roman;Times;serif"/>
                  <w:color w:val="000000"/>
                  <w:sz w:val="20"/>
                </w:rPr>
                <w:t>2.2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Fractional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2">
              <w:r>
                <w:rPr>
                  <w:rStyle w:val="InternetLink"/>
                  <w:rFonts w:ascii="Times New Roman;Times;serif" w:hAnsi="Times New Roman;Times;serif"/>
                  <w:color w:val="000000"/>
                  <w:sz w:val="20"/>
                </w:rPr>
                <w:t>A-3</w:t>
              </w:r>
            </w:hyperlink>
          </w:p>
        </w:tc>
      </w:tr>
      <w:tr>
        <w:trPr/>
        <w:tc>
          <w:tcPr>
            <w:tcW w:w="541" w:type="dxa"/>
            <w:tcBorders/>
            <w:vAlign w:val="center"/>
          </w:tcPr>
          <w:p>
            <w:pPr>
              <w:pStyle w:val="TableContents"/>
              <w:bidi w:val="0"/>
              <w:spacing w:before="0" w:after="283"/>
              <w:jc w:val="center"/>
              <w:rPr/>
            </w:pPr>
            <w:hyperlink w:anchor="tANXAS23">
              <w:r>
                <w:rPr>
                  <w:rStyle w:val="InternetLink"/>
                  <w:rFonts w:ascii="Times New Roman;Times;serif" w:hAnsi="Times New Roman;Times;serif"/>
                  <w:color w:val="000000"/>
                  <w:sz w:val="20"/>
                </w:rPr>
                <w:t>2.3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Paying and Exchange Agent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3">
              <w:r>
                <w:rPr>
                  <w:rStyle w:val="InternetLink"/>
                  <w:rFonts w:ascii="Times New Roman;Times;serif" w:hAnsi="Times New Roman;Times;serif"/>
                  <w:color w:val="000000"/>
                  <w:sz w:val="20"/>
                </w:rPr>
                <w:t>A-4</w:t>
              </w:r>
            </w:hyperlink>
          </w:p>
        </w:tc>
      </w:tr>
      <w:tr>
        <w:trPr/>
        <w:tc>
          <w:tcPr>
            <w:tcW w:w="541" w:type="dxa"/>
            <w:tcBorders/>
            <w:shd w:fill="CCEEFF" w:val="clear"/>
            <w:vAlign w:val="center"/>
          </w:tcPr>
          <w:p>
            <w:pPr>
              <w:pStyle w:val="TableContents"/>
              <w:bidi w:val="0"/>
              <w:spacing w:before="0" w:after="283"/>
              <w:jc w:val="center"/>
              <w:rPr/>
            </w:pPr>
            <w:hyperlink w:anchor="tANXAS24">
              <w:r>
                <w:rPr>
                  <w:rStyle w:val="InternetLink"/>
                  <w:rFonts w:ascii="Times New Roman;Times;serif" w:hAnsi="Times New Roman;Times;serif"/>
                  <w:color w:val="000000"/>
                  <w:sz w:val="20"/>
                </w:rPr>
                <w:t>2.4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Delivery of 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4">
              <w:r>
                <w:rPr>
                  <w:rStyle w:val="InternetLink"/>
                  <w:rFonts w:ascii="Times New Roman;Times;serif" w:hAnsi="Times New Roman;Times;serif"/>
                  <w:color w:val="000000"/>
                  <w:sz w:val="20"/>
                </w:rPr>
                <w:t>A-4</w:t>
              </w:r>
            </w:hyperlink>
          </w:p>
        </w:tc>
      </w:tr>
      <w:tr>
        <w:trPr/>
        <w:tc>
          <w:tcPr>
            <w:tcW w:w="541" w:type="dxa"/>
            <w:tcBorders/>
            <w:vAlign w:val="center"/>
          </w:tcPr>
          <w:p>
            <w:pPr>
              <w:pStyle w:val="TableContents"/>
              <w:bidi w:val="0"/>
              <w:spacing w:before="0" w:after="283"/>
              <w:jc w:val="center"/>
              <w:rPr/>
            </w:pPr>
            <w:hyperlink w:anchor="tANXAS25">
              <w:r>
                <w:rPr>
                  <w:rStyle w:val="InternetLink"/>
                  <w:rFonts w:ascii="Times New Roman;Times;serif" w:hAnsi="Times New Roman;Times;serif"/>
                  <w:color w:val="000000"/>
                  <w:sz w:val="20"/>
                </w:rPr>
                <w:t>2.5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No Further Ownership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5">
              <w:r>
                <w:rPr>
                  <w:rStyle w:val="InternetLink"/>
                  <w:rFonts w:ascii="Times New Roman;Times;serif" w:hAnsi="Times New Roman;Times;serif"/>
                  <w:color w:val="000000"/>
                  <w:sz w:val="20"/>
                </w:rPr>
                <w:t>A-4</w:t>
              </w:r>
            </w:hyperlink>
          </w:p>
        </w:tc>
      </w:tr>
      <w:tr>
        <w:trPr/>
        <w:tc>
          <w:tcPr>
            <w:tcW w:w="541" w:type="dxa"/>
            <w:tcBorders/>
            <w:shd w:fill="CCEEFF" w:val="clear"/>
            <w:vAlign w:val="center"/>
          </w:tcPr>
          <w:p>
            <w:pPr>
              <w:pStyle w:val="TableContents"/>
              <w:bidi w:val="0"/>
              <w:spacing w:before="0" w:after="283"/>
              <w:jc w:val="center"/>
              <w:rPr/>
            </w:pPr>
            <w:hyperlink w:anchor="tANXAS26">
              <w:r>
                <w:rPr>
                  <w:rStyle w:val="InternetLink"/>
                  <w:rFonts w:ascii="Times New Roman;Times;serif" w:hAnsi="Times New Roman;Times;serif"/>
                  <w:color w:val="000000"/>
                  <w:sz w:val="20"/>
                </w:rPr>
                <w:t>2.6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Net Asset Value Calculation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6">
              <w:r>
                <w:rPr>
                  <w:rStyle w:val="InternetLink"/>
                  <w:rFonts w:ascii="Times New Roman;Times;serif" w:hAnsi="Times New Roman;Times;serif"/>
                  <w:color w:val="000000"/>
                  <w:sz w:val="20"/>
                </w:rPr>
                <w:t>A-4</w:t>
              </w:r>
            </w:hyperlink>
          </w:p>
        </w:tc>
      </w:tr>
      <w:tr>
        <w:trPr/>
        <w:tc>
          <w:tcPr>
            <w:tcW w:w="541" w:type="dxa"/>
            <w:tcBorders/>
            <w:vAlign w:val="center"/>
          </w:tcPr>
          <w:p>
            <w:pPr>
              <w:pStyle w:val="TableContents"/>
              <w:bidi w:val="0"/>
              <w:spacing w:before="0" w:after="283"/>
              <w:jc w:val="center"/>
              <w:rPr/>
            </w:pPr>
            <w:hyperlink w:anchor="tANXAS27">
              <w:r>
                <w:rPr>
                  <w:rStyle w:val="InternetLink"/>
                  <w:rFonts w:ascii="Times New Roman;Times;serif" w:hAnsi="Times New Roman;Times;serif"/>
                  <w:color w:val="000000"/>
                  <w:sz w:val="20"/>
                </w:rPr>
                <w:t>2.7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Termination of Exchange Fund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7">
              <w:r>
                <w:rPr>
                  <w:rStyle w:val="InternetLink"/>
                  <w:rFonts w:ascii="Times New Roman;Times;serif" w:hAnsi="Times New Roman;Times;serif"/>
                  <w:color w:val="000000"/>
                  <w:sz w:val="20"/>
                </w:rPr>
                <w:t>A-5</w:t>
              </w:r>
            </w:hyperlink>
          </w:p>
        </w:tc>
      </w:tr>
      <w:tr>
        <w:trPr/>
        <w:tc>
          <w:tcPr>
            <w:tcW w:w="541" w:type="dxa"/>
            <w:tcBorders/>
            <w:shd w:fill="CCEEFF" w:val="clear"/>
            <w:vAlign w:val="center"/>
          </w:tcPr>
          <w:p>
            <w:pPr>
              <w:pStyle w:val="TableContents"/>
              <w:bidi w:val="0"/>
              <w:spacing w:before="0" w:after="283"/>
              <w:jc w:val="center"/>
              <w:rPr/>
            </w:pPr>
            <w:hyperlink w:anchor="tANXAS28">
              <w:r>
                <w:rPr>
                  <w:rStyle w:val="InternetLink"/>
                  <w:rFonts w:ascii="Times New Roman;Times;serif" w:hAnsi="Times New Roman;Times;serif"/>
                  <w:color w:val="000000"/>
                  <w:sz w:val="20"/>
                </w:rPr>
                <w:t>2.8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Withholding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28">
              <w:r>
                <w:rPr>
                  <w:rStyle w:val="InternetLink"/>
                  <w:rFonts w:ascii="Times New Roman;Times;serif" w:hAnsi="Times New Roman;Times;serif"/>
                  <w:color w:val="000000"/>
                  <w:sz w:val="20"/>
                </w:rPr>
                <w:t>A-5</w:t>
              </w:r>
            </w:hyperlink>
          </w:p>
        </w:tc>
      </w:tr>
      <w:tr>
        <w:trPr/>
        <w:tc>
          <w:tcPr>
            <w:tcW w:w="541" w:type="dxa"/>
            <w:tcBorders/>
            <w:vAlign w:val="center"/>
          </w:tcPr>
          <w:p>
            <w:pPr>
              <w:pStyle w:val="TableContents"/>
              <w:bidi w:val="0"/>
              <w:spacing w:before="0" w:after="283"/>
              <w:jc w:val="center"/>
              <w:rPr/>
            </w:pPr>
            <w:hyperlink w:anchor="tANXAS29">
              <w:r>
                <w:rPr>
                  <w:rStyle w:val="InternetLink"/>
                  <w:rFonts w:ascii="Times New Roman;Times;serif" w:hAnsi="Times New Roman;Times;serif"/>
                  <w:color w:val="000000"/>
                  <w:sz w:val="20"/>
                </w:rPr>
                <w:t>2.9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29">
              <w:r>
                <w:rPr>
                  <w:rStyle w:val="InternetLink"/>
                  <w:rFonts w:ascii="Times New Roman;Times;serif" w:hAnsi="Times New Roman;Times;serif"/>
                  <w:color w:val="000000"/>
                  <w:sz w:val="20"/>
                </w:rPr>
                <w:t>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29">
              <w:r>
                <w:rPr>
                  <w:rStyle w:val="InternetLink"/>
                  <w:rFonts w:ascii="Times New Roman;Times;serif" w:hAnsi="Times New Roman;Times;serif"/>
                  <w:color w:val="000000"/>
                  <w:sz w:val="20"/>
                </w:rPr>
                <w:t>A-5</w:t>
              </w:r>
            </w:hyperlink>
          </w:p>
        </w:tc>
      </w:tr>
      <w:tr>
        <w:trPr/>
        <w:tc>
          <w:tcPr>
            <w:tcW w:w="6438" w:type="dxa"/>
            <w:gridSpan w:val="4"/>
            <w:tcBorders/>
            <w:shd w:fill="CCEEFF" w:val="clear"/>
            <w:vAlign w:val="center"/>
          </w:tcPr>
          <w:p>
            <w:pPr>
              <w:pStyle w:val="TableContents"/>
              <w:bidi w:val="0"/>
              <w:spacing w:before="0" w:after="283"/>
              <w:jc w:val="center"/>
              <w:rPr/>
            </w:pPr>
            <w:hyperlink w:anchor="tANXAA3">
              <w:r>
                <w:rPr>
                  <w:rStyle w:val="InternetLink"/>
                  <w:rFonts w:ascii="Times New Roman;Times;serif" w:hAnsi="Times New Roman;Times;serif"/>
                  <w:color w:val="000000"/>
                  <w:sz w:val="20"/>
                </w:rPr>
                <w:t>ARTICLE III REPRESENTATIONS AND WARRANTIES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3">
              <w:r>
                <w:rPr>
                  <w:rStyle w:val="InternetLink"/>
                  <w:rFonts w:ascii="Times New Roman;Times;serif" w:hAnsi="Times New Roman;Times;serif"/>
                  <w:color w:val="000000"/>
                  <w:sz w:val="20"/>
                </w:rPr>
                <w:t>A-5</w:t>
              </w:r>
            </w:hyperlink>
          </w:p>
        </w:tc>
      </w:tr>
      <w:tr>
        <w:trPr/>
        <w:tc>
          <w:tcPr>
            <w:tcW w:w="541" w:type="dxa"/>
            <w:tcBorders/>
            <w:vAlign w:val="center"/>
          </w:tcPr>
          <w:p>
            <w:pPr>
              <w:pStyle w:val="TableContents"/>
              <w:bidi w:val="0"/>
              <w:spacing w:before="0" w:after="283"/>
              <w:jc w:val="center"/>
              <w:rPr/>
            </w:pPr>
            <w:hyperlink w:anchor="tANXAS31">
              <w:r>
                <w:rPr>
                  <w:rStyle w:val="InternetLink"/>
                  <w:rFonts w:ascii="Times New Roman;Times;serif" w:hAnsi="Times New Roman;Times;serif"/>
                  <w:color w:val="000000"/>
                  <w:sz w:val="20"/>
                </w:rPr>
                <w:t>3.1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Corporate Organization.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
              <w:r>
                <w:rPr>
                  <w:rStyle w:val="InternetLink"/>
                  <w:rFonts w:ascii="Times New Roman;Times;serif" w:hAnsi="Times New Roman;Times;serif"/>
                  <w:color w:val="000000"/>
                  <w:sz w:val="20"/>
                </w:rPr>
                <w:t>A-5</w:t>
              </w:r>
            </w:hyperlink>
          </w:p>
        </w:tc>
      </w:tr>
      <w:tr>
        <w:trPr/>
        <w:tc>
          <w:tcPr>
            <w:tcW w:w="541" w:type="dxa"/>
            <w:tcBorders/>
            <w:shd w:fill="CCEEFF" w:val="clear"/>
            <w:vAlign w:val="center"/>
          </w:tcPr>
          <w:p>
            <w:pPr>
              <w:pStyle w:val="TableContents"/>
              <w:bidi w:val="0"/>
              <w:spacing w:before="0" w:after="283"/>
              <w:jc w:val="center"/>
              <w:rPr/>
            </w:pPr>
            <w:hyperlink w:anchor="tANXAS32">
              <w:r>
                <w:rPr>
                  <w:rStyle w:val="InternetLink"/>
                  <w:rFonts w:ascii="Times New Roman;Times;serif" w:hAnsi="Times New Roman;Times;serif"/>
                  <w:color w:val="000000"/>
                  <w:sz w:val="20"/>
                </w:rPr>
                <w:t>3.2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2">
              <w:r>
                <w:rPr>
                  <w:rStyle w:val="InternetLink"/>
                  <w:rFonts w:ascii="Times New Roman;Times;serif" w:hAnsi="Times New Roman;Times;serif"/>
                  <w:color w:val="000000"/>
                  <w:sz w:val="20"/>
                </w:rPr>
                <w:t>A-6</w:t>
              </w:r>
            </w:hyperlink>
          </w:p>
        </w:tc>
      </w:tr>
      <w:tr>
        <w:trPr/>
        <w:tc>
          <w:tcPr>
            <w:tcW w:w="541" w:type="dxa"/>
            <w:tcBorders/>
            <w:vAlign w:val="center"/>
          </w:tcPr>
          <w:p>
            <w:pPr>
              <w:pStyle w:val="TableContents"/>
              <w:bidi w:val="0"/>
              <w:spacing w:before="0" w:after="283"/>
              <w:jc w:val="center"/>
              <w:rPr/>
            </w:pPr>
            <w:hyperlink w:anchor="tANXAS33">
              <w:r>
                <w:rPr>
                  <w:rStyle w:val="InternetLink"/>
                  <w:rFonts w:ascii="Times New Roman;Times;serif" w:hAnsi="Times New Roman;Times;serif"/>
                  <w:color w:val="000000"/>
                  <w:sz w:val="20"/>
                </w:rPr>
                <w:t>3.3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Authority; No Violation.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3">
              <w:r>
                <w:rPr>
                  <w:rStyle w:val="InternetLink"/>
                  <w:rFonts w:ascii="Times New Roman;Times;serif" w:hAnsi="Times New Roman;Times;serif"/>
                  <w:color w:val="000000"/>
                  <w:sz w:val="20"/>
                </w:rPr>
                <w:t>A-6</w:t>
              </w:r>
            </w:hyperlink>
          </w:p>
        </w:tc>
      </w:tr>
      <w:tr>
        <w:trPr/>
        <w:tc>
          <w:tcPr>
            <w:tcW w:w="541" w:type="dxa"/>
            <w:tcBorders/>
            <w:shd w:fill="CCEEFF" w:val="clear"/>
            <w:vAlign w:val="center"/>
          </w:tcPr>
          <w:p>
            <w:pPr>
              <w:pStyle w:val="TableContents"/>
              <w:bidi w:val="0"/>
              <w:spacing w:before="0" w:after="283"/>
              <w:jc w:val="center"/>
              <w:rPr/>
            </w:pPr>
            <w:hyperlink w:anchor="tANXAS34">
              <w:r>
                <w:rPr>
                  <w:rStyle w:val="InternetLink"/>
                  <w:rFonts w:ascii="Times New Roman;Times;serif" w:hAnsi="Times New Roman;Times;serif"/>
                  <w:color w:val="000000"/>
                  <w:sz w:val="20"/>
                </w:rPr>
                <w:t>3.4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Governmental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4">
              <w:r>
                <w:rPr>
                  <w:rStyle w:val="InternetLink"/>
                  <w:rFonts w:ascii="Times New Roman;Times;serif" w:hAnsi="Times New Roman;Times;serif"/>
                  <w:color w:val="000000"/>
                  <w:sz w:val="20"/>
                </w:rPr>
                <w:t>A-7</w:t>
              </w:r>
            </w:hyperlink>
          </w:p>
        </w:tc>
      </w:tr>
      <w:tr>
        <w:trPr/>
        <w:tc>
          <w:tcPr>
            <w:tcW w:w="541" w:type="dxa"/>
            <w:tcBorders/>
            <w:vAlign w:val="center"/>
          </w:tcPr>
          <w:p>
            <w:pPr>
              <w:pStyle w:val="TableContents"/>
              <w:bidi w:val="0"/>
              <w:spacing w:before="0" w:after="283"/>
              <w:jc w:val="center"/>
              <w:rPr/>
            </w:pPr>
            <w:hyperlink w:anchor="tANXAS35">
              <w:r>
                <w:rPr>
                  <w:rStyle w:val="InternetLink"/>
                  <w:rFonts w:ascii="Times New Roman;Times;serif" w:hAnsi="Times New Roman;Times;serif"/>
                  <w:color w:val="000000"/>
                  <w:sz w:val="20"/>
                </w:rPr>
                <w:t>3.5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Reports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5">
              <w:r>
                <w:rPr>
                  <w:rStyle w:val="InternetLink"/>
                  <w:rFonts w:ascii="Times New Roman;Times;serif" w:hAnsi="Times New Roman;Times;serif"/>
                  <w:color w:val="000000"/>
                  <w:sz w:val="20"/>
                </w:rPr>
                <w:t>A-7</w:t>
              </w:r>
            </w:hyperlink>
          </w:p>
        </w:tc>
      </w:tr>
      <w:tr>
        <w:trPr/>
        <w:tc>
          <w:tcPr>
            <w:tcW w:w="541" w:type="dxa"/>
            <w:tcBorders/>
            <w:shd w:fill="CCEEFF" w:val="clear"/>
            <w:vAlign w:val="center"/>
          </w:tcPr>
          <w:p>
            <w:pPr>
              <w:pStyle w:val="TableContents"/>
              <w:bidi w:val="0"/>
              <w:spacing w:before="0" w:after="283"/>
              <w:jc w:val="center"/>
              <w:rPr/>
            </w:pPr>
            <w:hyperlink w:anchor="tANXAS36">
              <w:r>
                <w:rPr>
                  <w:rStyle w:val="InternetLink"/>
                  <w:rFonts w:ascii="Times New Roman;Times;serif" w:hAnsi="Times New Roman;Times;serif"/>
                  <w:color w:val="000000"/>
                  <w:sz w:val="20"/>
                </w:rPr>
                <w:t>3.6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Company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6">
              <w:r>
                <w:rPr>
                  <w:rStyle w:val="InternetLink"/>
                  <w:rFonts w:ascii="Times New Roman;Times;serif" w:hAnsi="Times New Roman;Times;serif"/>
                  <w:color w:val="000000"/>
                  <w:sz w:val="20"/>
                </w:rPr>
                <w:t>A-8</w:t>
              </w:r>
            </w:hyperlink>
          </w:p>
        </w:tc>
      </w:tr>
      <w:tr>
        <w:trPr/>
        <w:tc>
          <w:tcPr>
            <w:tcW w:w="541" w:type="dxa"/>
            <w:tcBorders/>
            <w:vAlign w:val="center"/>
          </w:tcPr>
          <w:p>
            <w:pPr>
              <w:pStyle w:val="TableContents"/>
              <w:bidi w:val="0"/>
              <w:spacing w:before="0" w:after="283"/>
              <w:jc w:val="center"/>
              <w:rPr/>
            </w:pPr>
            <w:hyperlink w:anchor="tANXAS37">
              <w:r>
                <w:rPr>
                  <w:rStyle w:val="InternetLink"/>
                  <w:rFonts w:ascii="Times New Roman;Times;serif" w:hAnsi="Times New Roman;Times;serif"/>
                  <w:color w:val="000000"/>
                  <w:sz w:val="20"/>
                </w:rPr>
                <w:t>3.7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Broker’s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7">
              <w:r>
                <w:rPr>
                  <w:rStyle w:val="InternetLink"/>
                  <w:rFonts w:ascii="Times New Roman;Times;serif" w:hAnsi="Times New Roman;Times;serif"/>
                  <w:color w:val="000000"/>
                  <w:sz w:val="20"/>
                </w:rPr>
                <w:t xml:space="preserve">A-9 </w:t>
              </w:r>
            </w:hyperlink>
          </w:p>
        </w:tc>
      </w:tr>
      <w:tr>
        <w:trPr/>
        <w:tc>
          <w:tcPr>
            <w:tcW w:w="541" w:type="dxa"/>
            <w:tcBorders/>
            <w:shd w:fill="CCEEFF" w:val="clear"/>
            <w:vAlign w:val="center"/>
          </w:tcPr>
          <w:p>
            <w:pPr>
              <w:pStyle w:val="TableContents"/>
              <w:bidi w:val="0"/>
              <w:spacing w:before="0" w:after="283"/>
              <w:jc w:val="center"/>
              <w:rPr/>
            </w:pPr>
            <w:hyperlink w:anchor="tANXAS38">
              <w:r>
                <w:rPr>
                  <w:rStyle w:val="InternetLink"/>
                  <w:rFonts w:ascii="Times New Roman;Times;serif" w:hAnsi="Times New Roman;Times;serif"/>
                  <w:color w:val="000000"/>
                  <w:sz w:val="20"/>
                </w:rPr>
                <w:t>3.8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Absence of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8">
              <w:r>
                <w:rPr>
                  <w:rStyle w:val="InternetLink"/>
                  <w:rFonts w:ascii="Times New Roman;Times;serif" w:hAnsi="Times New Roman;Times;serif"/>
                  <w:color w:val="000000"/>
                  <w:sz w:val="20"/>
                </w:rPr>
                <w:t>A-10</w:t>
              </w:r>
            </w:hyperlink>
          </w:p>
        </w:tc>
      </w:tr>
      <w:tr>
        <w:trPr/>
        <w:tc>
          <w:tcPr>
            <w:tcW w:w="541" w:type="dxa"/>
            <w:tcBorders/>
            <w:vAlign w:val="center"/>
          </w:tcPr>
          <w:p>
            <w:pPr>
              <w:pStyle w:val="TableContents"/>
              <w:bidi w:val="0"/>
              <w:spacing w:before="0" w:after="283"/>
              <w:jc w:val="center"/>
              <w:rPr/>
            </w:pPr>
            <w:hyperlink w:anchor="tANXAS39">
              <w:r>
                <w:rPr>
                  <w:rStyle w:val="InternetLink"/>
                  <w:rFonts w:ascii="Times New Roman;Times;serif" w:hAnsi="Times New Roman;Times;serif"/>
                  <w:color w:val="000000"/>
                  <w:sz w:val="20"/>
                </w:rPr>
                <w:t>3.9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Compliance with Applicable Law; 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9">
              <w:r>
                <w:rPr>
                  <w:rStyle w:val="InternetLink"/>
                  <w:rFonts w:ascii="Times New Roman;Times;serif" w:hAnsi="Times New Roman;Times;serif"/>
                  <w:color w:val="000000"/>
                  <w:sz w:val="20"/>
                </w:rPr>
                <w:t>A-10</w:t>
              </w:r>
            </w:hyperlink>
          </w:p>
        </w:tc>
      </w:tr>
      <w:tr>
        <w:trPr/>
        <w:tc>
          <w:tcPr>
            <w:tcW w:w="541" w:type="dxa"/>
            <w:tcBorders/>
            <w:shd w:fill="CCEEFF" w:val="clear"/>
            <w:vAlign w:val="center"/>
          </w:tcPr>
          <w:p>
            <w:pPr>
              <w:pStyle w:val="TableContents"/>
              <w:bidi w:val="0"/>
              <w:spacing w:before="0" w:after="283"/>
              <w:jc w:val="center"/>
              <w:rPr/>
            </w:pPr>
            <w:hyperlink w:anchor="tANXAS310">
              <w:r>
                <w:rPr>
                  <w:rStyle w:val="InternetLink"/>
                  <w:rFonts w:ascii="Times New Roman;Times;serif" w:hAnsi="Times New Roman;Times;serif"/>
                  <w:color w:val="000000"/>
                  <w:sz w:val="20"/>
                </w:rPr>
                <w:t>3.10</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Company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0">
              <w:r>
                <w:rPr>
                  <w:rStyle w:val="InternetLink"/>
                  <w:rFonts w:ascii="Times New Roman;Times;serif" w:hAnsi="Times New Roman;Times;serif"/>
                  <w:color w:val="000000"/>
                  <w:sz w:val="20"/>
                </w:rPr>
                <w:t>A-10</w:t>
              </w:r>
            </w:hyperlink>
          </w:p>
        </w:tc>
      </w:tr>
      <w:tr>
        <w:trPr/>
        <w:tc>
          <w:tcPr>
            <w:tcW w:w="541" w:type="dxa"/>
            <w:tcBorders/>
            <w:vAlign w:val="center"/>
          </w:tcPr>
          <w:p>
            <w:pPr>
              <w:pStyle w:val="TableContents"/>
              <w:bidi w:val="0"/>
              <w:spacing w:before="0" w:after="283"/>
              <w:jc w:val="center"/>
              <w:rPr/>
            </w:pPr>
            <w:hyperlink w:anchor="tANXAS311">
              <w:r>
                <w:rPr>
                  <w:rStyle w:val="InternetLink"/>
                  <w:rFonts w:ascii="Times New Roman;Times;serif" w:hAnsi="Times New Roman;Times;serif"/>
                  <w:color w:val="000000"/>
                  <w:sz w:val="20"/>
                </w:rPr>
                <w:t>3.11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Taxes and Tax Returns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1">
              <w:r>
                <w:rPr>
                  <w:rStyle w:val="InternetLink"/>
                  <w:rFonts w:ascii="Times New Roman;Times;serif" w:hAnsi="Times New Roman;Times;serif"/>
                  <w:color w:val="000000"/>
                  <w:sz w:val="20"/>
                </w:rPr>
                <w:t>A-10</w:t>
              </w:r>
            </w:hyperlink>
          </w:p>
        </w:tc>
      </w:tr>
      <w:tr>
        <w:trPr/>
        <w:tc>
          <w:tcPr>
            <w:tcW w:w="541" w:type="dxa"/>
            <w:tcBorders/>
            <w:shd w:fill="CCEEFF" w:val="clear"/>
            <w:vAlign w:val="center"/>
          </w:tcPr>
          <w:p>
            <w:pPr>
              <w:pStyle w:val="TableContents"/>
              <w:bidi w:val="0"/>
              <w:spacing w:before="0" w:after="283"/>
              <w:jc w:val="center"/>
              <w:rPr/>
            </w:pPr>
            <w:hyperlink w:anchor="tANXAS312">
              <w:r>
                <w:rPr>
                  <w:rStyle w:val="InternetLink"/>
                  <w:rFonts w:ascii="Times New Roman;Times;serif" w:hAnsi="Times New Roman;Times;serif"/>
                  <w:color w:val="000000"/>
                  <w:sz w:val="20"/>
                </w:rPr>
                <w:t>3.12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2">
              <w:r>
                <w:rPr>
                  <w:rStyle w:val="InternetLink"/>
                  <w:rFonts w:ascii="Times New Roman;Times;serif" w:hAnsi="Times New Roman;Times;serif"/>
                  <w:color w:val="000000"/>
                  <w:sz w:val="20"/>
                </w:rPr>
                <w:t>A-12</w:t>
              </w:r>
            </w:hyperlink>
          </w:p>
        </w:tc>
      </w:tr>
      <w:tr>
        <w:trPr/>
        <w:tc>
          <w:tcPr>
            <w:tcW w:w="541" w:type="dxa"/>
            <w:tcBorders/>
            <w:vAlign w:val="center"/>
          </w:tcPr>
          <w:p>
            <w:pPr>
              <w:pStyle w:val="TableContents"/>
              <w:bidi w:val="0"/>
              <w:spacing w:before="0" w:after="283"/>
              <w:jc w:val="center"/>
              <w:rPr/>
            </w:pPr>
            <w:hyperlink w:anchor="tANXAS313">
              <w:r>
                <w:rPr>
                  <w:rStyle w:val="InternetLink"/>
                  <w:rFonts w:ascii="Times New Roman;Times;serif" w:hAnsi="Times New Roman;Times;serif"/>
                  <w:color w:val="000000"/>
                  <w:sz w:val="20"/>
                </w:rPr>
                <w:t>3.13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3">
              <w:r>
                <w:rPr>
                  <w:rStyle w:val="InternetLink"/>
                  <w:rFonts w:ascii="Times New Roman;Times;serif" w:hAnsi="Times New Roman;Times;serif"/>
                  <w:color w:val="000000"/>
                  <w:sz w:val="20"/>
                </w:rPr>
                <w:t>A-13</w:t>
              </w:r>
            </w:hyperlink>
          </w:p>
        </w:tc>
      </w:tr>
      <w:tr>
        <w:trPr/>
        <w:tc>
          <w:tcPr>
            <w:tcW w:w="541" w:type="dxa"/>
            <w:tcBorders/>
            <w:shd w:fill="CCEEFF" w:val="clear"/>
            <w:vAlign w:val="center"/>
          </w:tcPr>
          <w:p>
            <w:pPr>
              <w:pStyle w:val="TableContents"/>
              <w:bidi w:val="0"/>
              <w:spacing w:before="0" w:after="283"/>
              <w:jc w:val="center"/>
              <w:rPr/>
            </w:pPr>
            <w:hyperlink w:anchor="tANXAS314">
              <w:r>
                <w:rPr>
                  <w:rStyle w:val="InternetLink"/>
                  <w:rFonts w:ascii="Times New Roman;Times;serif" w:hAnsi="Times New Roman;Times;serif"/>
                  <w:color w:val="000000"/>
                  <w:sz w:val="20"/>
                </w:rPr>
                <w:t>3.14</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Certain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4">
              <w:r>
                <w:rPr>
                  <w:rStyle w:val="InternetLink"/>
                  <w:rFonts w:ascii="Times New Roman;Times;serif" w:hAnsi="Times New Roman;Times;serif"/>
                  <w:color w:val="000000"/>
                  <w:sz w:val="20"/>
                </w:rPr>
                <w:t>A-13</w:t>
              </w:r>
            </w:hyperlink>
          </w:p>
        </w:tc>
      </w:tr>
      <w:tr>
        <w:trPr/>
        <w:tc>
          <w:tcPr>
            <w:tcW w:w="541" w:type="dxa"/>
            <w:tcBorders/>
            <w:vAlign w:val="center"/>
          </w:tcPr>
          <w:p>
            <w:pPr>
              <w:pStyle w:val="TableContents"/>
              <w:bidi w:val="0"/>
              <w:spacing w:before="0" w:after="283"/>
              <w:jc w:val="center"/>
              <w:rPr/>
            </w:pPr>
            <w:hyperlink w:anchor="tANXAS315">
              <w:r>
                <w:rPr>
                  <w:rStyle w:val="InternetLink"/>
                  <w:rFonts w:ascii="Times New Roman;Times;serif" w:hAnsi="Times New Roman;Times;serif"/>
                  <w:color w:val="000000"/>
                  <w:sz w:val="20"/>
                </w:rPr>
                <w:t>3.15</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Insurance Coverage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5">
              <w:r>
                <w:rPr>
                  <w:rStyle w:val="InternetLink"/>
                  <w:rFonts w:ascii="Times New Roman;Times;serif" w:hAnsi="Times New Roman;Times;serif"/>
                  <w:color w:val="000000"/>
                  <w:sz w:val="20"/>
                </w:rPr>
                <w:t>A-14</w:t>
              </w:r>
            </w:hyperlink>
          </w:p>
        </w:tc>
      </w:tr>
      <w:tr>
        <w:trPr/>
        <w:tc>
          <w:tcPr>
            <w:tcW w:w="541" w:type="dxa"/>
            <w:tcBorders/>
            <w:shd w:fill="CCEEFF" w:val="clear"/>
            <w:vAlign w:val="center"/>
          </w:tcPr>
          <w:p>
            <w:pPr>
              <w:pStyle w:val="TableContents"/>
              <w:bidi w:val="0"/>
              <w:spacing w:before="0" w:after="283"/>
              <w:jc w:val="center"/>
              <w:rPr/>
            </w:pPr>
            <w:hyperlink w:anchor="tANXAS316">
              <w:r>
                <w:rPr>
                  <w:rStyle w:val="InternetLink"/>
                  <w:rFonts w:ascii="Times New Roman;Times;serif" w:hAnsi="Times New Roman;Times;serif"/>
                  <w:color w:val="000000"/>
                  <w:sz w:val="20"/>
                </w:rPr>
                <w:t>3.16</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6">
              <w:r>
                <w:rPr>
                  <w:rStyle w:val="InternetLink"/>
                  <w:rFonts w:ascii="Times New Roman;Times;serif" w:hAnsi="Times New Roman;Times;serif"/>
                  <w:color w:val="000000"/>
                  <w:sz w:val="20"/>
                </w:rPr>
                <w:t>A-14</w:t>
              </w:r>
            </w:hyperlink>
          </w:p>
        </w:tc>
      </w:tr>
      <w:tr>
        <w:trPr/>
        <w:tc>
          <w:tcPr>
            <w:tcW w:w="541" w:type="dxa"/>
            <w:tcBorders/>
            <w:vAlign w:val="center"/>
          </w:tcPr>
          <w:p>
            <w:pPr>
              <w:pStyle w:val="TableContents"/>
              <w:bidi w:val="0"/>
              <w:spacing w:before="0" w:after="283"/>
              <w:jc w:val="center"/>
              <w:rPr/>
            </w:pPr>
            <w:hyperlink w:anchor="tANXAS317">
              <w:r>
                <w:rPr>
                  <w:rStyle w:val="InternetLink"/>
                  <w:rFonts w:ascii="Times New Roman;Times;serif" w:hAnsi="Times New Roman;Times;serif"/>
                  <w:color w:val="000000"/>
                  <w:sz w:val="20"/>
                </w:rPr>
                <w:t>3.17</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7">
              <w:r>
                <w:rPr>
                  <w:rStyle w:val="InternetLink"/>
                  <w:rFonts w:ascii="Times New Roman;Times;serif" w:hAnsi="Times New Roman;Times;serif"/>
                  <w:color w:val="000000"/>
                  <w:sz w:val="20"/>
                </w:rPr>
                <w:t>A-14</w:t>
              </w:r>
            </w:hyperlink>
          </w:p>
        </w:tc>
      </w:tr>
      <w:tr>
        <w:trPr/>
        <w:tc>
          <w:tcPr>
            <w:tcW w:w="541" w:type="dxa"/>
            <w:tcBorders/>
            <w:shd w:fill="CCEEFF" w:val="clear"/>
            <w:vAlign w:val="center"/>
          </w:tcPr>
          <w:p>
            <w:pPr>
              <w:pStyle w:val="TableContents"/>
              <w:bidi w:val="0"/>
              <w:spacing w:before="0" w:after="283"/>
              <w:jc w:val="center"/>
              <w:rPr/>
            </w:pPr>
            <w:hyperlink w:anchor="tANXAS318">
              <w:r>
                <w:rPr>
                  <w:rStyle w:val="InternetLink"/>
                  <w:rFonts w:ascii="Times New Roman;Times;serif" w:hAnsi="Times New Roman;Times;serif"/>
                  <w:color w:val="000000"/>
                  <w:sz w:val="20"/>
                </w:rPr>
                <w:t>3.18</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18">
              <w:r>
                <w:rPr>
                  <w:rStyle w:val="InternetLink"/>
                  <w:rFonts w:ascii="Times New Roman;Times;serif" w:hAnsi="Times New Roman;Times;serif"/>
                  <w:color w:val="000000"/>
                  <w:sz w:val="20"/>
                </w:rPr>
                <w:t>A-14</w:t>
              </w:r>
            </w:hyperlink>
          </w:p>
        </w:tc>
      </w:tr>
      <w:tr>
        <w:trPr/>
        <w:tc>
          <w:tcPr>
            <w:tcW w:w="541" w:type="dxa"/>
            <w:tcBorders/>
            <w:vAlign w:val="center"/>
          </w:tcPr>
          <w:p>
            <w:pPr>
              <w:pStyle w:val="TableContents"/>
              <w:bidi w:val="0"/>
              <w:spacing w:before="0" w:after="283"/>
              <w:jc w:val="center"/>
              <w:rPr/>
            </w:pPr>
            <w:hyperlink w:anchor="tANXAS319">
              <w:r>
                <w:rPr>
                  <w:rStyle w:val="InternetLink"/>
                  <w:rFonts w:ascii="Times New Roman;Times;serif" w:hAnsi="Times New Roman;Times;serif"/>
                  <w:color w:val="000000"/>
                  <w:sz w:val="20"/>
                </w:rPr>
                <w:t>3.19</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Investment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19">
              <w:r>
                <w:rPr>
                  <w:rStyle w:val="InternetLink"/>
                  <w:rFonts w:ascii="Times New Roman;Times;serif" w:hAnsi="Times New Roman;Times;serif"/>
                  <w:color w:val="000000"/>
                  <w:sz w:val="20"/>
                </w:rPr>
                <w:t>A-14</w:t>
              </w:r>
            </w:hyperlink>
          </w:p>
        </w:tc>
      </w:tr>
      <w:tr>
        <w:trPr/>
        <w:tc>
          <w:tcPr>
            <w:tcW w:w="541" w:type="dxa"/>
            <w:tcBorders/>
            <w:shd w:fill="CCEEFF" w:val="clear"/>
            <w:vAlign w:val="center"/>
          </w:tcPr>
          <w:p>
            <w:pPr>
              <w:pStyle w:val="TableContents"/>
              <w:bidi w:val="0"/>
              <w:spacing w:before="0" w:after="283"/>
              <w:jc w:val="center"/>
              <w:rPr/>
            </w:pPr>
            <w:hyperlink w:anchor="tANXAS320">
              <w:r>
                <w:rPr>
                  <w:rStyle w:val="InternetLink"/>
                  <w:rFonts w:ascii="Times New Roman;Times;serif" w:hAnsi="Times New Roman;Times;serif"/>
                  <w:color w:val="000000"/>
                  <w:sz w:val="20"/>
                </w:rPr>
                <w:t>3.20</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State 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20">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321">
              <w:r>
                <w:rPr>
                  <w:rStyle w:val="InternetLink"/>
                  <w:rFonts w:ascii="Times New Roman;Times;serif" w:hAnsi="Times New Roman;Times;serif"/>
                  <w:color w:val="000000"/>
                  <w:sz w:val="20"/>
                </w:rPr>
                <w:t>3.21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21">
              <w:r>
                <w:rPr>
                  <w:rStyle w:val="InternetLink"/>
                  <w:rFonts w:ascii="Times New Roman;Times;serif" w:hAnsi="Times New Roman;Times;serif"/>
                  <w:color w:val="000000"/>
                  <w:sz w:val="20"/>
                </w:rPr>
                <w:t>A-15</w:t>
              </w:r>
            </w:hyperlink>
          </w:p>
        </w:tc>
      </w:tr>
      <w:tr>
        <w:trPr/>
        <w:tc>
          <w:tcPr>
            <w:tcW w:w="541" w:type="dxa"/>
            <w:tcBorders/>
            <w:shd w:fill="CCEEFF" w:val="clear"/>
            <w:vAlign w:val="center"/>
          </w:tcPr>
          <w:p>
            <w:pPr>
              <w:pStyle w:val="TableContents"/>
              <w:bidi w:val="0"/>
              <w:spacing w:before="0" w:after="283"/>
              <w:jc w:val="center"/>
              <w:rPr/>
            </w:pPr>
            <w:hyperlink w:anchor="tANXAS322">
              <w:r>
                <w:rPr>
                  <w:rStyle w:val="InternetLink"/>
                  <w:rFonts w:ascii="Times New Roman;Times;serif" w:hAnsi="Times New Roman;Times;serif"/>
                  <w:color w:val="000000"/>
                  <w:sz w:val="20"/>
                </w:rPr>
                <w:t>3.22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Valuation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322">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323">
              <w:r>
                <w:rPr>
                  <w:rStyle w:val="InternetLink"/>
                  <w:rFonts w:ascii="Times New Roman;Times;serif" w:hAnsi="Times New Roman;Times;serif"/>
                  <w:color w:val="000000"/>
                  <w:sz w:val="20"/>
                </w:rPr>
                <w:t>3.23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323">
              <w:r>
                <w:rPr>
                  <w:rStyle w:val="InternetLink"/>
                  <w:rFonts w:ascii="Times New Roman;Times;serif" w:hAnsi="Times New Roman;Times;serif"/>
                  <w:color w:val="000000"/>
                  <w:sz w:val="20"/>
                </w:rPr>
                <w:t>A-15</w:t>
              </w:r>
            </w:hyperlink>
          </w:p>
        </w:tc>
      </w:tr>
      <w:tr>
        <w:trPr/>
        <w:tc>
          <w:tcPr>
            <w:tcW w:w="6438" w:type="dxa"/>
            <w:gridSpan w:val="4"/>
            <w:tcBorders/>
            <w:shd w:fill="CCEEFF" w:val="clear"/>
            <w:vAlign w:val="center"/>
          </w:tcPr>
          <w:p>
            <w:pPr>
              <w:pStyle w:val="TableContents"/>
              <w:bidi w:val="0"/>
              <w:spacing w:before="0" w:after="283"/>
              <w:jc w:val="center"/>
              <w:rPr/>
            </w:pPr>
            <w:hyperlink w:anchor="tANXAA4">
              <w:r>
                <w:rPr>
                  <w:rStyle w:val="InternetLink"/>
                  <w:rFonts w:ascii="Times New Roman;Times;serif" w:hAnsi="Times New Roman;Times;serif"/>
                  <w:color w:val="000000"/>
                  <w:sz w:val="20"/>
                </w:rPr>
                <w:t>ARTICLE IV REPRESENTATIONS AND WARRANTIES OF THE ACQUIROR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4">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41">
              <w:r>
                <w:rPr>
                  <w:rStyle w:val="InternetLink"/>
                  <w:rFonts w:ascii="Times New Roman;Times;serif" w:hAnsi="Times New Roman;Times;serif"/>
                  <w:color w:val="000000"/>
                  <w:sz w:val="20"/>
                </w:rPr>
                <w:t>4.1</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Corporate Organization.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41">
              <w:r>
                <w:rPr>
                  <w:rStyle w:val="InternetLink"/>
                  <w:rFonts w:ascii="Times New Roman;Times;serif" w:hAnsi="Times New Roman;Times;serif"/>
                  <w:color w:val="000000"/>
                  <w:sz w:val="20"/>
                </w:rPr>
                <w:t>A-15</w:t>
              </w:r>
            </w:hyperlink>
          </w:p>
        </w:tc>
      </w:tr>
      <w:tr>
        <w:trPr/>
        <w:tc>
          <w:tcPr>
            <w:tcW w:w="541" w:type="dxa"/>
            <w:tcBorders/>
            <w:shd w:fill="CCEEFF" w:val="clear"/>
            <w:vAlign w:val="center"/>
          </w:tcPr>
          <w:p>
            <w:pPr>
              <w:pStyle w:val="TableContents"/>
              <w:bidi w:val="0"/>
              <w:spacing w:before="0" w:after="283"/>
              <w:jc w:val="center"/>
              <w:rPr/>
            </w:pPr>
            <w:hyperlink w:anchor="tANXAS42">
              <w:r>
                <w:rPr>
                  <w:rStyle w:val="InternetLink"/>
                  <w:rFonts w:ascii="Times New Roman;Times;serif" w:hAnsi="Times New Roman;Times;serif"/>
                  <w:color w:val="000000"/>
                  <w:sz w:val="20"/>
                </w:rPr>
                <w:t>4.2</w:t>
              </w:r>
            </w:hyperlink>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5515"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42">
              <w:r>
                <w:rPr>
                  <w:rStyle w:val="InternetLink"/>
                  <w:rFonts w:ascii="Times New Roman;Times;serif" w:hAnsi="Times New Roman;Times;serif"/>
                  <w:color w:val="000000"/>
                  <w:sz w:val="20"/>
                </w:rPr>
                <w:t>A-15</w:t>
              </w:r>
            </w:hyperlink>
          </w:p>
        </w:tc>
      </w:tr>
      <w:tr>
        <w:trPr/>
        <w:tc>
          <w:tcPr>
            <w:tcW w:w="541" w:type="dxa"/>
            <w:tcBorders/>
            <w:vAlign w:val="center"/>
          </w:tcPr>
          <w:p>
            <w:pPr>
              <w:pStyle w:val="TableContents"/>
              <w:bidi w:val="0"/>
              <w:spacing w:before="0" w:after="283"/>
              <w:jc w:val="center"/>
              <w:rPr/>
            </w:pPr>
            <w:hyperlink w:anchor="tANXAS43">
              <w:r>
                <w:rPr>
                  <w:rStyle w:val="InternetLink"/>
                  <w:rFonts w:ascii="Times New Roman;Times;serif" w:hAnsi="Times New Roman;Times;serif"/>
                  <w:color w:val="000000"/>
                  <w:sz w:val="20"/>
                </w:rPr>
                <w:t>4.3</w:t>
              </w:r>
            </w:hyperlink>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Authority; No Violation.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43">
              <w:r>
                <w:rPr>
                  <w:rStyle w:val="InternetLink"/>
                  <w:rFonts w:ascii="Times New Roman;Times;serif" w:hAnsi="Times New Roman;Times;serif"/>
                  <w:color w:val="000000"/>
                  <w:sz w:val="20"/>
                </w:rPr>
                <w:t>A-16</w:t>
              </w:r>
            </w:hyperlink>
          </w:p>
        </w:tc>
      </w:tr>
      <w:tr>
        <w:trPr/>
        <w:tc>
          <w:tcPr>
            <w:tcW w:w="54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5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7966x1_n14_300-annexa_pg3"/>
        <w:bookmarkEnd w:id="278"/>
        <w:r>
          <w:rPr>
            <w:rStyle w:val="InternetLink"/>
            <w:rFonts w:ascii="Times New Roman;Times;Serif" w:hAnsi="Times New Roman;Times;Serif"/>
            <w:b/>
            <w:caps w:val="false"/>
            <w:smallCaps w:val="false"/>
            <w:color w:val="000000"/>
            <w:sz w:val="16"/>
          </w:rPr>
          <w:t>TABLE OF CONTENTS</w:t>
        </w:r>
      </w:hyperlink>
    </w:p>
    <w:tbl>
      <w:tblPr>
        <w:tblW w:w="7067" w:type="dxa"/>
        <w:jc w:val="left"/>
        <w:tblInd w:w="0" w:type="dxa"/>
        <w:tblLayout w:type="fixed"/>
        <w:tblCellMar>
          <w:top w:w="0" w:type="dxa"/>
          <w:left w:w="0" w:type="dxa"/>
          <w:bottom w:w="0" w:type="dxa"/>
          <w:right w:w="0" w:type="dxa"/>
        </w:tblCellMar>
      </w:tblPr>
      <w:tblGrid>
        <w:gridCol w:w="464"/>
        <w:gridCol w:w="164"/>
        <w:gridCol w:w="164"/>
        <w:gridCol w:w="5510"/>
        <w:gridCol w:w="140"/>
        <w:gridCol w:w="140"/>
        <w:gridCol w:w="485"/>
      </w:tblGrid>
      <w:tr>
        <w:trPr/>
        <w:tc>
          <w:tcPr>
            <w:tcW w:w="4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464"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464" w:type="dxa"/>
            <w:tcBorders/>
            <w:shd w:fill="CCEEFF" w:val="clear"/>
            <w:vAlign w:val="center"/>
          </w:tcPr>
          <w:p>
            <w:pPr>
              <w:pStyle w:val="TableContents"/>
              <w:bidi w:val="0"/>
              <w:spacing w:before="0" w:after="283"/>
              <w:jc w:val="center"/>
              <w:rPr/>
            </w:pPr>
            <w:hyperlink w:anchor="tANXAS44">
              <w:r>
                <w:rPr>
                  <w:rStyle w:val="InternetLink"/>
                  <w:rFonts w:ascii="Times New Roman;Times;serif" w:hAnsi="Times New Roman;Times;serif"/>
                  <w:color w:val="000000"/>
                  <w:sz w:val="20"/>
                </w:rPr>
                <w:t>4.4</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Governmental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4">
              <w:r>
                <w:rPr>
                  <w:rStyle w:val="InternetLink"/>
                  <w:rFonts w:ascii="Times New Roman;Times;serif" w:hAnsi="Times New Roman;Times;serif"/>
                  <w:color w:val="000000"/>
                  <w:sz w:val="20"/>
                </w:rPr>
                <w:t>A-16</w:t>
              </w:r>
            </w:hyperlink>
          </w:p>
        </w:tc>
      </w:tr>
      <w:tr>
        <w:trPr/>
        <w:tc>
          <w:tcPr>
            <w:tcW w:w="464" w:type="dxa"/>
            <w:tcBorders/>
            <w:vAlign w:val="center"/>
          </w:tcPr>
          <w:p>
            <w:pPr>
              <w:pStyle w:val="TableContents"/>
              <w:bidi w:val="0"/>
              <w:spacing w:before="0" w:after="283"/>
              <w:jc w:val="center"/>
              <w:rPr/>
            </w:pPr>
            <w:hyperlink w:anchor="tANXAS45">
              <w:r>
                <w:rPr>
                  <w:rStyle w:val="InternetLink"/>
                  <w:rFonts w:ascii="Times New Roman;Times;serif" w:hAnsi="Times New Roman;Times;serif"/>
                  <w:color w:val="000000"/>
                  <w:sz w:val="20"/>
                </w:rPr>
                <w:t>4.5</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Reports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5">
              <w:r>
                <w:rPr>
                  <w:rStyle w:val="InternetLink"/>
                  <w:rFonts w:ascii="Times New Roman;Times;serif" w:hAnsi="Times New Roman;Times;serif"/>
                  <w:color w:val="000000"/>
                  <w:sz w:val="20"/>
                </w:rPr>
                <w:t>A-17</w:t>
              </w:r>
            </w:hyperlink>
          </w:p>
        </w:tc>
      </w:tr>
      <w:tr>
        <w:trPr/>
        <w:tc>
          <w:tcPr>
            <w:tcW w:w="464" w:type="dxa"/>
            <w:tcBorders/>
            <w:shd w:fill="CCEEFF" w:val="clear"/>
            <w:vAlign w:val="center"/>
          </w:tcPr>
          <w:p>
            <w:pPr>
              <w:pStyle w:val="TableContents"/>
              <w:bidi w:val="0"/>
              <w:spacing w:before="0" w:after="283"/>
              <w:jc w:val="center"/>
              <w:rPr/>
            </w:pPr>
            <w:hyperlink w:anchor="tANXAS46">
              <w:r>
                <w:rPr>
                  <w:rStyle w:val="InternetLink"/>
                  <w:rFonts w:ascii="Times New Roman;Times;serif" w:hAnsi="Times New Roman;Times;serif"/>
                  <w:color w:val="000000"/>
                  <w:sz w:val="20"/>
                </w:rPr>
                <w:t>4.6</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Acquiror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6">
              <w:r>
                <w:rPr>
                  <w:rStyle w:val="InternetLink"/>
                  <w:rFonts w:ascii="Times New Roman;Times;serif" w:hAnsi="Times New Roman;Times;serif"/>
                  <w:color w:val="000000"/>
                  <w:sz w:val="20"/>
                </w:rPr>
                <w:t>A-17</w:t>
              </w:r>
            </w:hyperlink>
          </w:p>
        </w:tc>
      </w:tr>
      <w:tr>
        <w:trPr/>
        <w:tc>
          <w:tcPr>
            <w:tcW w:w="464" w:type="dxa"/>
            <w:tcBorders/>
            <w:vAlign w:val="center"/>
          </w:tcPr>
          <w:p>
            <w:pPr>
              <w:pStyle w:val="TableContents"/>
              <w:bidi w:val="0"/>
              <w:spacing w:before="0" w:after="283"/>
              <w:jc w:val="center"/>
              <w:rPr/>
            </w:pPr>
            <w:hyperlink w:anchor="tANXAS47">
              <w:r>
                <w:rPr>
                  <w:rStyle w:val="InternetLink"/>
                  <w:rFonts w:ascii="Times New Roman;Times;serif" w:hAnsi="Times New Roman;Times;serif"/>
                  <w:color w:val="000000"/>
                  <w:sz w:val="20"/>
                </w:rPr>
                <w:t>4.7</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Broker’s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7">
              <w:r>
                <w:rPr>
                  <w:rStyle w:val="InternetLink"/>
                  <w:rFonts w:ascii="Times New Roman;Times;serif" w:hAnsi="Times New Roman;Times;serif"/>
                  <w:color w:val="000000"/>
                  <w:sz w:val="20"/>
                </w:rPr>
                <w:t>A-19</w:t>
              </w:r>
            </w:hyperlink>
          </w:p>
        </w:tc>
      </w:tr>
      <w:tr>
        <w:trPr/>
        <w:tc>
          <w:tcPr>
            <w:tcW w:w="464" w:type="dxa"/>
            <w:tcBorders/>
            <w:shd w:fill="CCEEFF" w:val="clear"/>
            <w:vAlign w:val="center"/>
          </w:tcPr>
          <w:p>
            <w:pPr>
              <w:pStyle w:val="TableContents"/>
              <w:bidi w:val="0"/>
              <w:spacing w:before="0" w:after="283"/>
              <w:jc w:val="center"/>
              <w:rPr/>
            </w:pPr>
            <w:hyperlink w:anchor="tANXAS48">
              <w:r>
                <w:rPr>
                  <w:rStyle w:val="InternetLink"/>
                  <w:rFonts w:ascii="Times New Roman;Times;serif" w:hAnsi="Times New Roman;Times;serif"/>
                  <w:color w:val="000000"/>
                  <w:sz w:val="20"/>
                </w:rPr>
                <w:t>4.8</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Absence of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8">
              <w:r>
                <w:rPr>
                  <w:rStyle w:val="InternetLink"/>
                  <w:rFonts w:ascii="Times New Roman;Times;serif" w:hAnsi="Times New Roman;Times;serif"/>
                  <w:color w:val="000000"/>
                  <w:sz w:val="20"/>
                </w:rPr>
                <w:t>A-19</w:t>
              </w:r>
            </w:hyperlink>
          </w:p>
        </w:tc>
      </w:tr>
      <w:tr>
        <w:trPr/>
        <w:tc>
          <w:tcPr>
            <w:tcW w:w="464" w:type="dxa"/>
            <w:tcBorders/>
            <w:vAlign w:val="center"/>
          </w:tcPr>
          <w:p>
            <w:pPr>
              <w:pStyle w:val="TableContents"/>
              <w:bidi w:val="0"/>
              <w:spacing w:before="0" w:after="283"/>
              <w:jc w:val="center"/>
              <w:rPr/>
            </w:pPr>
            <w:hyperlink w:anchor="tANXAS49">
              <w:r>
                <w:rPr>
                  <w:rStyle w:val="InternetLink"/>
                  <w:rFonts w:ascii="Times New Roman;Times;serif" w:hAnsi="Times New Roman;Times;serif"/>
                  <w:color w:val="000000"/>
                  <w:sz w:val="20"/>
                </w:rPr>
                <w:t>4.9</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Compliance with Applicable Law; 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9">
              <w:r>
                <w:rPr>
                  <w:rStyle w:val="InternetLink"/>
                  <w:rFonts w:ascii="Times New Roman;Times;serif" w:hAnsi="Times New Roman;Times;serif"/>
                  <w:color w:val="000000"/>
                  <w:sz w:val="20"/>
                </w:rPr>
                <w:t>A-19</w:t>
              </w:r>
            </w:hyperlink>
          </w:p>
        </w:tc>
      </w:tr>
      <w:tr>
        <w:trPr/>
        <w:tc>
          <w:tcPr>
            <w:tcW w:w="464" w:type="dxa"/>
            <w:tcBorders/>
            <w:shd w:fill="CCEEFF" w:val="clear"/>
            <w:vAlign w:val="center"/>
          </w:tcPr>
          <w:p>
            <w:pPr>
              <w:pStyle w:val="TableContents"/>
              <w:bidi w:val="0"/>
              <w:spacing w:before="0" w:after="283"/>
              <w:jc w:val="center"/>
              <w:rPr/>
            </w:pPr>
            <w:hyperlink w:anchor="tANXAS410">
              <w:r>
                <w:rPr>
                  <w:rStyle w:val="InternetLink"/>
                  <w:rFonts w:ascii="Times New Roman;Times;serif" w:hAnsi="Times New Roman;Times;serif"/>
                  <w:color w:val="000000"/>
                  <w:sz w:val="20"/>
                </w:rPr>
                <w:t>4.10</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Acquiror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0">
              <w:r>
                <w:rPr>
                  <w:rStyle w:val="InternetLink"/>
                  <w:rFonts w:ascii="Times New Roman;Times;serif" w:hAnsi="Times New Roman;Times;serif"/>
                  <w:color w:val="000000"/>
                  <w:sz w:val="20"/>
                </w:rPr>
                <w:t>A-20</w:t>
              </w:r>
            </w:hyperlink>
          </w:p>
        </w:tc>
      </w:tr>
      <w:tr>
        <w:trPr/>
        <w:tc>
          <w:tcPr>
            <w:tcW w:w="464" w:type="dxa"/>
            <w:tcBorders/>
            <w:vAlign w:val="center"/>
          </w:tcPr>
          <w:p>
            <w:pPr>
              <w:pStyle w:val="TableContents"/>
              <w:bidi w:val="0"/>
              <w:spacing w:before="0" w:after="283"/>
              <w:jc w:val="center"/>
              <w:rPr/>
            </w:pPr>
            <w:hyperlink w:anchor="tANXAS411">
              <w:r>
                <w:rPr>
                  <w:rStyle w:val="InternetLink"/>
                  <w:rFonts w:ascii="Times New Roman;Times;serif" w:hAnsi="Times New Roman;Times;serif"/>
                  <w:color w:val="000000"/>
                  <w:sz w:val="20"/>
                </w:rPr>
                <w:t>4.11</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Taxes and Tax Returns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1">
              <w:r>
                <w:rPr>
                  <w:rStyle w:val="InternetLink"/>
                  <w:rFonts w:ascii="Times New Roman;Times;serif" w:hAnsi="Times New Roman;Times;serif"/>
                  <w:color w:val="000000"/>
                  <w:sz w:val="20"/>
                </w:rPr>
                <w:t xml:space="preserve">A-21 </w:t>
              </w:r>
            </w:hyperlink>
          </w:p>
        </w:tc>
      </w:tr>
      <w:tr>
        <w:trPr/>
        <w:tc>
          <w:tcPr>
            <w:tcW w:w="464" w:type="dxa"/>
            <w:tcBorders/>
            <w:shd w:fill="CCEEFF" w:val="clear"/>
            <w:vAlign w:val="center"/>
          </w:tcPr>
          <w:p>
            <w:pPr>
              <w:pStyle w:val="TableContents"/>
              <w:bidi w:val="0"/>
              <w:spacing w:before="0" w:after="283"/>
              <w:jc w:val="center"/>
              <w:rPr/>
            </w:pPr>
            <w:hyperlink w:anchor="tANXAS412">
              <w:r>
                <w:rPr>
                  <w:rStyle w:val="InternetLink"/>
                  <w:rFonts w:ascii="Times New Roman;Times;serif" w:hAnsi="Times New Roman;Times;serif"/>
                  <w:color w:val="000000"/>
                  <w:sz w:val="20"/>
                </w:rPr>
                <w:t>4.12</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2">
              <w:r>
                <w:rPr>
                  <w:rStyle w:val="InternetLink"/>
                  <w:rFonts w:ascii="Times New Roman;Times;serif" w:hAnsi="Times New Roman;Times;serif"/>
                  <w:color w:val="000000"/>
                  <w:sz w:val="20"/>
                </w:rPr>
                <w:t>A-23</w:t>
              </w:r>
            </w:hyperlink>
          </w:p>
        </w:tc>
      </w:tr>
      <w:tr>
        <w:trPr/>
        <w:tc>
          <w:tcPr>
            <w:tcW w:w="464" w:type="dxa"/>
            <w:tcBorders/>
            <w:vAlign w:val="center"/>
          </w:tcPr>
          <w:p>
            <w:pPr>
              <w:pStyle w:val="TableContents"/>
              <w:bidi w:val="0"/>
              <w:spacing w:before="0" w:after="283"/>
              <w:jc w:val="center"/>
              <w:rPr/>
            </w:pPr>
            <w:hyperlink w:anchor="tANXAS413">
              <w:r>
                <w:rPr>
                  <w:rStyle w:val="InternetLink"/>
                  <w:rFonts w:ascii="Times New Roman;Times;serif" w:hAnsi="Times New Roman;Times;serif"/>
                  <w:color w:val="000000"/>
                  <w:sz w:val="20"/>
                </w:rPr>
                <w:t>4.13</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3">
              <w:r>
                <w:rPr>
                  <w:rStyle w:val="InternetLink"/>
                  <w:rFonts w:ascii="Times New Roman;Times;serif" w:hAnsi="Times New Roman;Times;serif"/>
                  <w:color w:val="000000"/>
                  <w:sz w:val="20"/>
                </w:rPr>
                <w:t>A-23</w:t>
              </w:r>
            </w:hyperlink>
          </w:p>
        </w:tc>
      </w:tr>
      <w:tr>
        <w:trPr/>
        <w:tc>
          <w:tcPr>
            <w:tcW w:w="464" w:type="dxa"/>
            <w:tcBorders/>
            <w:shd w:fill="CCEEFF" w:val="clear"/>
            <w:vAlign w:val="center"/>
          </w:tcPr>
          <w:p>
            <w:pPr>
              <w:pStyle w:val="TableContents"/>
              <w:bidi w:val="0"/>
              <w:spacing w:before="0" w:after="283"/>
              <w:jc w:val="center"/>
              <w:rPr/>
            </w:pPr>
            <w:hyperlink w:anchor="tANXAS414">
              <w:r>
                <w:rPr>
                  <w:rStyle w:val="InternetLink"/>
                  <w:rFonts w:ascii="Times New Roman;Times;serif" w:hAnsi="Times New Roman;Times;serif"/>
                  <w:color w:val="000000"/>
                  <w:sz w:val="20"/>
                </w:rPr>
                <w:t>4.14</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Certain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4">
              <w:r>
                <w:rPr>
                  <w:rStyle w:val="InternetLink"/>
                  <w:rFonts w:ascii="Times New Roman;Times;serif" w:hAnsi="Times New Roman;Times;serif"/>
                  <w:color w:val="000000"/>
                  <w:sz w:val="20"/>
                </w:rPr>
                <w:t>A-23</w:t>
              </w:r>
            </w:hyperlink>
          </w:p>
        </w:tc>
      </w:tr>
      <w:tr>
        <w:trPr/>
        <w:tc>
          <w:tcPr>
            <w:tcW w:w="464" w:type="dxa"/>
            <w:tcBorders/>
            <w:vAlign w:val="center"/>
          </w:tcPr>
          <w:p>
            <w:pPr>
              <w:pStyle w:val="TableContents"/>
              <w:bidi w:val="0"/>
              <w:spacing w:before="0" w:after="283"/>
              <w:jc w:val="center"/>
              <w:rPr/>
            </w:pPr>
            <w:hyperlink w:anchor="tANXAS415">
              <w:r>
                <w:rPr>
                  <w:rStyle w:val="InternetLink"/>
                  <w:rFonts w:ascii="Times New Roman;Times;serif" w:hAnsi="Times New Roman;Times;serif"/>
                  <w:color w:val="000000"/>
                  <w:sz w:val="20"/>
                </w:rPr>
                <w:t>4.15</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Insurance Coverage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5">
              <w:r>
                <w:rPr>
                  <w:rStyle w:val="InternetLink"/>
                  <w:rFonts w:ascii="Times New Roman;Times;serif" w:hAnsi="Times New Roman;Times;serif"/>
                  <w:color w:val="000000"/>
                  <w:sz w:val="20"/>
                </w:rPr>
                <w:t>A-24</w:t>
              </w:r>
            </w:hyperlink>
          </w:p>
        </w:tc>
      </w:tr>
      <w:tr>
        <w:trPr/>
        <w:tc>
          <w:tcPr>
            <w:tcW w:w="464" w:type="dxa"/>
            <w:tcBorders/>
            <w:shd w:fill="CCEEFF" w:val="clear"/>
            <w:vAlign w:val="center"/>
          </w:tcPr>
          <w:p>
            <w:pPr>
              <w:pStyle w:val="TableContents"/>
              <w:bidi w:val="0"/>
              <w:spacing w:before="0" w:after="283"/>
              <w:jc w:val="center"/>
              <w:rPr/>
            </w:pPr>
            <w:hyperlink w:anchor="tANXAS416">
              <w:r>
                <w:rPr>
                  <w:rStyle w:val="InternetLink"/>
                  <w:rFonts w:ascii="Times New Roman;Times;serif" w:hAnsi="Times New Roman;Times;serif"/>
                  <w:color w:val="000000"/>
                  <w:sz w:val="20"/>
                </w:rPr>
                <w:t>4.16</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6">
              <w:r>
                <w:rPr>
                  <w:rStyle w:val="InternetLink"/>
                  <w:rFonts w:ascii="Times New Roman;Times;serif" w:hAnsi="Times New Roman;Times;serif"/>
                  <w:color w:val="000000"/>
                  <w:sz w:val="20"/>
                </w:rPr>
                <w:t>A-24</w:t>
              </w:r>
            </w:hyperlink>
          </w:p>
        </w:tc>
      </w:tr>
      <w:tr>
        <w:trPr/>
        <w:tc>
          <w:tcPr>
            <w:tcW w:w="464" w:type="dxa"/>
            <w:tcBorders/>
            <w:vAlign w:val="center"/>
          </w:tcPr>
          <w:p>
            <w:pPr>
              <w:pStyle w:val="TableContents"/>
              <w:bidi w:val="0"/>
              <w:spacing w:before="0" w:after="283"/>
              <w:jc w:val="center"/>
              <w:rPr/>
            </w:pPr>
            <w:hyperlink w:anchor="tANXAS417">
              <w:r>
                <w:rPr>
                  <w:rStyle w:val="InternetLink"/>
                  <w:rFonts w:ascii="Times New Roman;Times;serif" w:hAnsi="Times New Roman;Times;serif"/>
                  <w:color w:val="000000"/>
                  <w:sz w:val="20"/>
                </w:rPr>
                <w:t>4.17</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7">
              <w:r>
                <w:rPr>
                  <w:rStyle w:val="InternetLink"/>
                  <w:rFonts w:ascii="Times New Roman;Times;serif" w:hAnsi="Times New Roman;Times;serif"/>
                  <w:color w:val="000000"/>
                  <w:sz w:val="20"/>
                </w:rPr>
                <w:t>A-24</w:t>
              </w:r>
            </w:hyperlink>
          </w:p>
        </w:tc>
      </w:tr>
      <w:tr>
        <w:trPr/>
        <w:tc>
          <w:tcPr>
            <w:tcW w:w="464" w:type="dxa"/>
            <w:tcBorders/>
            <w:shd w:fill="CCEEFF" w:val="clear"/>
            <w:vAlign w:val="center"/>
          </w:tcPr>
          <w:p>
            <w:pPr>
              <w:pStyle w:val="TableContents"/>
              <w:bidi w:val="0"/>
              <w:spacing w:before="0" w:after="283"/>
              <w:jc w:val="center"/>
              <w:rPr/>
            </w:pPr>
            <w:hyperlink w:anchor="tANXAS418">
              <w:r>
                <w:rPr>
                  <w:rStyle w:val="InternetLink"/>
                  <w:rFonts w:ascii="Times New Roman;Times;serif" w:hAnsi="Times New Roman;Times;serif"/>
                  <w:color w:val="000000"/>
                  <w:sz w:val="20"/>
                </w:rPr>
                <w:t>4.18</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8">
              <w:r>
                <w:rPr>
                  <w:rStyle w:val="InternetLink"/>
                  <w:rFonts w:ascii="Times New Roman;Times;serif" w:hAnsi="Times New Roman;Times;serif"/>
                  <w:color w:val="000000"/>
                  <w:sz w:val="20"/>
                </w:rPr>
                <w:t>A-24</w:t>
              </w:r>
            </w:hyperlink>
          </w:p>
        </w:tc>
      </w:tr>
      <w:tr>
        <w:trPr/>
        <w:tc>
          <w:tcPr>
            <w:tcW w:w="464" w:type="dxa"/>
            <w:tcBorders/>
            <w:vAlign w:val="center"/>
          </w:tcPr>
          <w:p>
            <w:pPr>
              <w:pStyle w:val="TableContents"/>
              <w:bidi w:val="0"/>
              <w:spacing w:before="0" w:after="283"/>
              <w:jc w:val="center"/>
              <w:rPr/>
            </w:pPr>
            <w:hyperlink w:anchor="tANXAS419">
              <w:r>
                <w:rPr>
                  <w:rStyle w:val="InternetLink"/>
                  <w:rFonts w:ascii="Times New Roman;Times;serif" w:hAnsi="Times New Roman;Times;serif"/>
                  <w:color w:val="000000"/>
                  <w:sz w:val="20"/>
                </w:rPr>
                <w:t>4.19</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Investment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9">
              <w:r>
                <w:rPr>
                  <w:rStyle w:val="InternetLink"/>
                  <w:rFonts w:ascii="Times New Roman;Times;serif" w:hAnsi="Times New Roman;Times;serif"/>
                  <w:color w:val="000000"/>
                  <w:sz w:val="20"/>
                </w:rPr>
                <w:t>A-24</w:t>
              </w:r>
            </w:hyperlink>
          </w:p>
        </w:tc>
      </w:tr>
      <w:tr>
        <w:trPr/>
        <w:tc>
          <w:tcPr>
            <w:tcW w:w="464" w:type="dxa"/>
            <w:tcBorders/>
            <w:shd w:fill="CCEEFF" w:val="clear"/>
            <w:vAlign w:val="center"/>
          </w:tcPr>
          <w:p>
            <w:pPr>
              <w:pStyle w:val="TableContents"/>
              <w:bidi w:val="0"/>
              <w:spacing w:before="0" w:after="283"/>
              <w:jc w:val="center"/>
              <w:rPr/>
            </w:pPr>
            <w:hyperlink w:anchor="tANXAS420">
              <w:r>
                <w:rPr>
                  <w:rStyle w:val="InternetLink"/>
                  <w:rFonts w:ascii="Times New Roman;Times;serif" w:hAnsi="Times New Roman;Times;serif"/>
                  <w:color w:val="000000"/>
                  <w:sz w:val="20"/>
                </w:rPr>
                <w:t>4.20</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State 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0">
              <w:r>
                <w:rPr>
                  <w:rStyle w:val="InternetLink"/>
                  <w:rFonts w:ascii="Times New Roman;Times;serif" w:hAnsi="Times New Roman;Times;serif"/>
                  <w:color w:val="000000"/>
                  <w:sz w:val="20"/>
                </w:rPr>
                <w:t>A-25</w:t>
              </w:r>
            </w:hyperlink>
          </w:p>
        </w:tc>
      </w:tr>
      <w:tr>
        <w:trPr/>
        <w:tc>
          <w:tcPr>
            <w:tcW w:w="464" w:type="dxa"/>
            <w:tcBorders/>
            <w:vAlign w:val="center"/>
          </w:tcPr>
          <w:p>
            <w:pPr>
              <w:pStyle w:val="TableContents"/>
              <w:bidi w:val="0"/>
              <w:spacing w:before="0" w:after="283"/>
              <w:jc w:val="center"/>
              <w:rPr/>
            </w:pPr>
            <w:hyperlink w:anchor="tANXAS421">
              <w:r>
                <w:rPr>
                  <w:rStyle w:val="InternetLink"/>
                  <w:rFonts w:ascii="Times New Roman;Times;serif" w:hAnsi="Times New Roman;Times;serif"/>
                  <w:color w:val="000000"/>
                  <w:sz w:val="20"/>
                </w:rPr>
                <w:t>4.21</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Valuation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1">
              <w:r>
                <w:rPr>
                  <w:rStyle w:val="InternetLink"/>
                  <w:rFonts w:ascii="Times New Roman;Times;serif" w:hAnsi="Times New Roman;Times;serif"/>
                  <w:color w:val="000000"/>
                  <w:sz w:val="20"/>
                </w:rPr>
                <w:t>A-25</w:t>
              </w:r>
            </w:hyperlink>
          </w:p>
        </w:tc>
      </w:tr>
      <w:tr>
        <w:trPr/>
        <w:tc>
          <w:tcPr>
            <w:tcW w:w="464" w:type="dxa"/>
            <w:tcBorders/>
            <w:shd w:fill="CCEEFF" w:val="clear"/>
            <w:vAlign w:val="center"/>
          </w:tcPr>
          <w:p>
            <w:pPr>
              <w:pStyle w:val="TableContents"/>
              <w:bidi w:val="0"/>
              <w:spacing w:before="0" w:after="283"/>
              <w:jc w:val="center"/>
              <w:rPr/>
            </w:pPr>
            <w:hyperlink w:anchor="tANXAS422">
              <w:r>
                <w:rPr>
                  <w:rStyle w:val="InternetLink"/>
                  <w:rFonts w:ascii="Times New Roman;Times;serif" w:hAnsi="Times New Roman;Times;serif"/>
                  <w:color w:val="000000"/>
                  <w:sz w:val="20"/>
                </w:rPr>
                <w:t>4.22</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2">
              <w:r>
                <w:rPr>
                  <w:rStyle w:val="InternetLink"/>
                  <w:rFonts w:ascii="Times New Roman;Times;serif" w:hAnsi="Times New Roman;Times;serif"/>
                  <w:color w:val="000000"/>
                  <w:sz w:val="20"/>
                </w:rPr>
                <w:t>A-25</w:t>
              </w:r>
            </w:hyperlink>
          </w:p>
        </w:tc>
      </w:tr>
      <w:tr>
        <w:trPr/>
        <w:tc>
          <w:tcPr>
            <w:tcW w:w="6302" w:type="dxa"/>
            <w:gridSpan w:val="4"/>
            <w:tcBorders/>
            <w:vAlign w:val="center"/>
          </w:tcPr>
          <w:p>
            <w:pPr>
              <w:pStyle w:val="TableContents"/>
              <w:bidi w:val="0"/>
              <w:spacing w:before="0" w:after="283"/>
              <w:jc w:val="center"/>
              <w:rPr/>
            </w:pPr>
            <w:hyperlink w:anchor="tANXAA5">
              <w:r>
                <w:rPr>
                  <w:rStyle w:val="InternetLink"/>
                  <w:rFonts w:ascii="Times New Roman;Times;serif" w:hAnsi="Times New Roman;Times;serif"/>
                  <w:color w:val="000000"/>
                  <w:sz w:val="20"/>
                </w:rPr>
                <w:t>ARTICLE V REPRESENTATIONS AND WARRANTIES OF THE ADVISERS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A5">
              <w:r>
                <w:rPr>
                  <w:rStyle w:val="InternetLink"/>
                  <w:rFonts w:ascii="Times New Roman;Times;serif" w:hAnsi="Times New Roman;Times;serif"/>
                  <w:color w:val="000000"/>
                  <w:sz w:val="20"/>
                </w:rPr>
                <w:t>A-25</w:t>
              </w:r>
            </w:hyperlink>
          </w:p>
        </w:tc>
      </w:tr>
      <w:tr>
        <w:trPr/>
        <w:tc>
          <w:tcPr>
            <w:tcW w:w="464" w:type="dxa"/>
            <w:tcBorders/>
            <w:shd w:fill="CCEEFF" w:val="clear"/>
            <w:vAlign w:val="center"/>
          </w:tcPr>
          <w:p>
            <w:pPr>
              <w:pStyle w:val="TableContents"/>
              <w:bidi w:val="0"/>
              <w:spacing w:before="0" w:after="283"/>
              <w:jc w:val="center"/>
              <w:rPr/>
            </w:pPr>
            <w:hyperlink w:anchor="tANXAS51">
              <w:r>
                <w:rPr>
                  <w:rStyle w:val="InternetLink"/>
                  <w:rFonts w:ascii="Times New Roman;Times;serif" w:hAnsi="Times New Roman;Times;serif"/>
                  <w:color w:val="000000"/>
                  <w:sz w:val="20"/>
                </w:rPr>
                <w:t>5.1</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1">
              <w:r>
                <w:rPr>
                  <w:rStyle w:val="InternetLink"/>
                  <w:rFonts w:ascii="Times New Roman;Times;serif" w:hAnsi="Times New Roman;Times;serif"/>
                  <w:color w:val="000000"/>
                  <w:sz w:val="20"/>
                </w:rPr>
                <w:t>A-25</w:t>
              </w:r>
            </w:hyperlink>
          </w:p>
        </w:tc>
      </w:tr>
      <w:tr>
        <w:trPr/>
        <w:tc>
          <w:tcPr>
            <w:tcW w:w="464" w:type="dxa"/>
            <w:tcBorders/>
            <w:vAlign w:val="center"/>
          </w:tcPr>
          <w:p>
            <w:pPr>
              <w:pStyle w:val="TableContents"/>
              <w:bidi w:val="0"/>
              <w:spacing w:before="0" w:after="283"/>
              <w:jc w:val="center"/>
              <w:rPr/>
            </w:pPr>
            <w:hyperlink w:anchor="tANXAS52">
              <w:r>
                <w:rPr>
                  <w:rStyle w:val="InternetLink"/>
                  <w:rFonts w:ascii="Times New Roman;Times;serif" w:hAnsi="Times New Roman;Times;serif"/>
                  <w:color w:val="000000"/>
                  <w:sz w:val="20"/>
                </w:rPr>
                <w:t>5.2</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Authority; No Violation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2">
              <w:r>
                <w:rPr>
                  <w:rStyle w:val="InternetLink"/>
                  <w:rFonts w:ascii="Times New Roman;Times;serif" w:hAnsi="Times New Roman;Times;serif"/>
                  <w:color w:val="000000"/>
                  <w:sz w:val="20"/>
                </w:rPr>
                <w:t>A-25</w:t>
              </w:r>
            </w:hyperlink>
          </w:p>
        </w:tc>
      </w:tr>
      <w:tr>
        <w:trPr/>
        <w:tc>
          <w:tcPr>
            <w:tcW w:w="464" w:type="dxa"/>
            <w:tcBorders/>
            <w:shd w:fill="CCEEFF" w:val="clear"/>
            <w:vAlign w:val="center"/>
          </w:tcPr>
          <w:p>
            <w:pPr>
              <w:pStyle w:val="TableContents"/>
              <w:bidi w:val="0"/>
              <w:spacing w:before="0" w:after="283"/>
              <w:jc w:val="center"/>
              <w:rPr/>
            </w:pPr>
            <w:hyperlink w:anchor="tANXAS53">
              <w:r>
                <w:rPr>
                  <w:rStyle w:val="InternetLink"/>
                  <w:rFonts w:ascii="Times New Roman;Times;serif" w:hAnsi="Times New Roman;Times;serif"/>
                  <w:color w:val="000000"/>
                  <w:sz w:val="20"/>
                </w:rPr>
                <w:t>5.3</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Compliance with Applicable Law; Permits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3">
              <w:r>
                <w:rPr>
                  <w:rStyle w:val="InternetLink"/>
                  <w:rFonts w:ascii="Times New Roman;Times;serif" w:hAnsi="Times New Roman;Times;serif"/>
                  <w:color w:val="000000"/>
                  <w:sz w:val="20"/>
                </w:rPr>
                <w:t>A-26</w:t>
              </w:r>
            </w:hyperlink>
          </w:p>
        </w:tc>
      </w:tr>
      <w:tr>
        <w:trPr/>
        <w:tc>
          <w:tcPr>
            <w:tcW w:w="464" w:type="dxa"/>
            <w:tcBorders/>
            <w:vAlign w:val="center"/>
          </w:tcPr>
          <w:p>
            <w:pPr>
              <w:pStyle w:val="TableContents"/>
              <w:bidi w:val="0"/>
              <w:spacing w:before="0" w:after="283"/>
              <w:jc w:val="center"/>
              <w:rPr/>
            </w:pPr>
            <w:hyperlink w:anchor="tANXAS54">
              <w:r>
                <w:rPr>
                  <w:rStyle w:val="InternetLink"/>
                  <w:rFonts w:ascii="Times New Roman;Times;serif" w:hAnsi="Times New Roman;Times;serif"/>
                  <w:color w:val="000000"/>
                  <w:sz w:val="20"/>
                </w:rPr>
                <w:t>5.4</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4">
              <w:r>
                <w:rPr>
                  <w:rStyle w:val="InternetLink"/>
                  <w:rFonts w:ascii="Times New Roman;Times;serif" w:hAnsi="Times New Roman;Times;serif"/>
                  <w:color w:val="000000"/>
                  <w:sz w:val="20"/>
                </w:rPr>
                <w:t>A-27</w:t>
              </w:r>
            </w:hyperlink>
          </w:p>
        </w:tc>
      </w:tr>
      <w:tr>
        <w:trPr/>
        <w:tc>
          <w:tcPr>
            <w:tcW w:w="464" w:type="dxa"/>
            <w:tcBorders/>
            <w:shd w:fill="CCEEFF" w:val="clear"/>
            <w:vAlign w:val="center"/>
          </w:tcPr>
          <w:p>
            <w:pPr>
              <w:pStyle w:val="TableContents"/>
              <w:bidi w:val="0"/>
              <w:spacing w:before="0" w:after="283"/>
              <w:jc w:val="center"/>
              <w:rPr/>
            </w:pPr>
            <w:hyperlink w:anchor="tANXAS55">
              <w:r>
                <w:rPr>
                  <w:rStyle w:val="InternetLink"/>
                  <w:rFonts w:ascii="Times New Roman;Times;serif" w:hAnsi="Times New Roman;Times;serif"/>
                  <w:color w:val="000000"/>
                  <w:sz w:val="20"/>
                </w:rPr>
                <w:t>5.5</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Valuation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5">
              <w:r>
                <w:rPr>
                  <w:rStyle w:val="InternetLink"/>
                  <w:rFonts w:ascii="Times New Roman;Times;serif" w:hAnsi="Times New Roman;Times;serif"/>
                  <w:color w:val="000000"/>
                  <w:sz w:val="20"/>
                </w:rPr>
                <w:t>A-27</w:t>
              </w:r>
            </w:hyperlink>
          </w:p>
        </w:tc>
      </w:tr>
      <w:tr>
        <w:trPr/>
        <w:tc>
          <w:tcPr>
            <w:tcW w:w="464" w:type="dxa"/>
            <w:tcBorders/>
            <w:vAlign w:val="center"/>
          </w:tcPr>
          <w:p>
            <w:pPr>
              <w:pStyle w:val="TableContents"/>
              <w:bidi w:val="0"/>
              <w:spacing w:before="0" w:after="283"/>
              <w:jc w:val="center"/>
              <w:rPr/>
            </w:pPr>
            <w:hyperlink w:anchor="tANXAS56">
              <w:r>
                <w:rPr>
                  <w:rStyle w:val="InternetLink"/>
                  <w:rFonts w:ascii="Times New Roman;Times;serif" w:hAnsi="Times New Roman;Times;serif"/>
                  <w:color w:val="000000"/>
                  <w:sz w:val="20"/>
                </w:rPr>
                <w:t>5.6</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Adviser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6">
              <w:r>
                <w:rPr>
                  <w:rStyle w:val="InternetLink"/>
                  <w:rFonts w:ascii="Times New Roman;Times;serif" w:hAnsi="Times New Roman;Times;serif"/>
                  <w:color w:val="000000"/>
                  <w:sz w:val="20"/>
                </w:rPr>
                <w:t>A-27</w:t>
              </w:r>
            </w:hyperlink>
          </w:p>
        </w:tc>
      </w:tr>
      <w:tr>
        <w:trPr/>
        <w:tc>
          <w:tcPr>
            <w:tcW w:w="464" w:type="dxa"/>
            <w:tcBorders/>
            <w:shd w:fill="CCEEFF" w:val="clear"/>
            <w:vAlign w:val="center"/>
          </w:tcPr>
          <w:p>
            <w:pPr>
              <w:pStyle w:val="TableContents"/>
              <w:bidi w:val="0"/>
              <w:spacing w:before="0" w:after="283"/>
              <w:jc w:val="center"/>
              <w:rPr/>
            </w:pPr>
            <w:hyperlink w:anchor="tANXAS57">
              <w:r>
                <w:rPr>
                  <w:rStyle w:val="InternetLink"/>
                  <w:rFonts w:ascii="Times New Roman;Times;serif" w:hAnsi="Times New Roman;Times;serif"/>
                  <w:color w:val="000000"/>
                  <w:sz w:val="20"/>
                </w:rPr>
                <w:t>5.7</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Financial Resources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7">
              <w:r>
                <w:rPr>
                  <w:rStyle w:val="InternetLink"/>
                  <w:rFonts w:ascii="Times New Roman;Times;serif" w:hAnsi="Times New Roman;Times;serif"/>
                  <w:color w:val="000000"/>
                  <w:sz w:val="20"/>
                </w:rPr>
                <w:t>A-27</w:t>
              </w:r>
            </w:hyperlink>
          </w:p>
        </w:tc>
      </w:tr>
      <w:tr>
        <w:trPr/>
        <w:tc>
          <w:tcPr>
            <w:tcW w:w="464" w:type="dxa"/>
            <w:tcBorders/>
            <w:vAlign w:val="center"/>
          </w:tcPr>
          <w:p>
            <w:pPr>
              <w:pStyle w:val="TableContents"/>
              <w:bidi w:val="0"/>
              <w:spacing w:before="0" w:after="283"/>
              <w:jc w:val="center"/>
              <w:rPr/>
            </w:pPr>
            <w:hyperlink w:anchor="tANXAS58">
              <w:r>
                <w:rPr>
                  <w:rStyle w:val="InternetLink"/>
                  <w:rFonts w:ascii="Times New Roman;Times;serif" w:hAnsi="Times New Roman;Times;serif"/>
                  <w:color w:val="000000"/>
                  <w:sz w:val="20"/>
                </w:rPr>
                <w:t>5.8</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Acquiror or Company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8">
              <w:r>
                <w:rPr>
                  <w:rStyle w:val="InternetLink"/>
                  <w:rFonts w:ascii="Times New Roman;Times;serif" w:hAnsi="Times New Roman;Times;serif"/>
                  <w:color w:val="000000"/>
                  <w:sz w:val="20"/>
                </w:rPr>
                <w:t>A-27</w:t>
              </w:r>
            </w:hyperlink>
          </w:p>
        </w:tc>
      </w:tr>
      <w:tr>
        <w:trPr/>
        <w:tc>
          <w:tcPr>
            <w:tcW w:w="6302" w:type="dxa"/>
            <w:gridSpan w:val="4"/>
            <w:tcBorders/>
            <w:shd w:fill="CCEEFF" w:val="clear"/>
            <w:vAlign w:val="center"/>
          </w:tcPr>
          <w:p>
            <w:pPr>
              <w:pStyle w:val="TableContents"/>
              <w:bidi w:val="0"/>
              <w:spacing w:before="0" w:after="283"/>
              <w:jc w:val="center"/>
              <w:rPr/>
            </w:pPr>
            <w:hyperlink w:anchor="tANXAA6">
              <w:r>
                <w:rPr>
                  <w:rStyle w:val="InternetLink"/>
                  <w:rFonts w:ascii="Times New Roman;Times;serif" w:hAnsi="Times New Roman;Times;serif"/>
                  <w:color w:val="000000"/>
                  <w:sz w:val="20"/>
                </w:rPr>
                <w:t>ARTICLE VI COVENANTS RELATING TO CONDUCT OF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A6">
              <w:r>
                <w:rPr>
                  <w:rStyle w:val="InternetLink"/>
                  <w:rFonts w:ascii="Times New Roman;Times;serif" w:hAnsi="Times New Roman;Times;serif"/>
                  <w:color w:val="000000"/>
                  <w:sz w:val="20"/>
                </w:rPr>
                <w:t>A-27</w:t>
              </w:r>
            </w:hyperlink>
          </w:p>
        </w:tc>
      </w:tr>
      <w:tr>
        <w:trPr/>
        <w:tc>
          <w:tcPr>
            <w:tcW w:w="464" w:type="dxa"/>
            <w:tcBorders/>
            <w:vAlign w:val="center"/>
          </w:tcPr>
          <w:p>
            <w:pPr>
              <w:pStyle w:val="TableContents"/>
              <w:bidi w:val="0"/>
              <w:spacing w:before="0" w:after="283"/>
              <w:jc w:val="center"/>
              <w:rPr/>
            </w:pPr>
            <w:hyperlink w:anchor="tANXAS61">
              <w:r>
                <w:rPr>
                  <w:rStyle w:val="InternetLink"/>
                  <w:rFonts w:ascii="Times New Roman;Times;serif" w:hAnsi="Times New Roman;Times;serif"/>
                  <w:color w:val="000000"/>
                  <w:sz w:val="20"/>
                </w:rPr>
                <w:t>6.1</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Conduct of Businesses Prior to the Merger 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1">
              <w:r>
                <w:rPr>
                  <w:rStyle w:val="InternetLink"/>
                  <w:rFonts w:ascii="Times New Roman;Times;serif" w:hAnsi="Times New Roman;Times;serif"/>
                  <w:color w:val="000000"/>
                  <w:sz w:val="20"/>
                </w:rPr>
                <w:t>A-27</w:t>
              </w:r>
            </w:hyperlink>
          </w:p>
        </w:tc>
      </w:tr>
      <w:tr>
        <w:trPr/>
        <w:tc>
          <w:tcPr>
            <w:tcW w:w="464" w:type="dxa"/>
            <w:tcBorders/>
            <w:shd w:fill="CCEEFF" w:val="clear"/>
            <w:vAlign w:val="center"/>
          </w:tcPr>
          <w:p>
            <w:pPr>
              <w:pStyle w:val="TableContents"/>
              <w:bidi w:val="0"/>
              <w:spacing w:before="0" w:after="283"/>
              <w:jc w:val="center"/>
              <w:rPr/>
            </w:pPr>
            <w:hyperlink w:anchor="tANXAS62">
              <w:r>
                <w:rPr>
                  <w:rStyle w:val="InternetLink"/>
                  <w:rFonts w:ascii="Times New Roman;Times;serif" w:hAnsi="Times New Roman;Times;serif"/>
                  <w:color w:val="000000"/>
                  <w:sz w:val="20"/>
                </w:rPr>
                <w:t>6.2</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Forbearances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2">
              <w:r>
                <w:rPr>
                  <w:rStyle w:val="InternetLink"/>
                  <w:rFonts w:ascii="Times New Roman;Times;serif" w:hAnsi="Times New Roman;Times;serif"/>
                  <w:color w:val="000000"/>
                  <w:sz w:val="20"/>
                </w:rPr>
                <w:t>A-27</w:t>
              </w:r>
            </w:hyperlink>
          </w:p>
        </w:tc>
      </w:tr>
      <w:tr>
        <w:trPr/>
        <w:tc>
          <w:tcPr>
            <w:tcW w:w="6302" w:type="dxa"/>
            <w:gridSpan w:val="4"/>
            <w:tcBorders/>
            <w:vAlign w:val="center"/>
          </w:tcPr>
          <w:p>
            <w:pPr>
              <w:pStyle w:val="TableContents"/>
              <w:bidi w:val="0"/>
              <w:spacing w:before="0" w:after="283"/>
              <w:jc w:val="center"/>
              <w:rPr/>
            </w:pPr>
            <w:hyperlink w:anchor="tANXAA7">
              <w:r>
                <w:rPr>
                  <w:rStyle w:val="InternetLink"/>
                  <w:rFonts w:ascii="Times New Roman;Times;serif" w:hAnsi="Times New Roman;Times;serif"/>
                  <w:color w:val="000000"/>
                  <w:sz w:val="20"/>
                </w:rPr>
                <w:t>ARTICLE VII ADDITIONAL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A7">
              <w:r>
                <w:rPr>
                  <w:rStyle w:val="InternetLink"/>
                  <w:rFonts w:ascii="Times New Roman;Times;serif" w:hAnsi="Times New Roman;Times;serif"/>
                  <w:color w:val="000000"/>
                  <w:sz w:val="20"/>
                </w:rPr>
                <w:t>A-29</w:t>
              </w:r>
            </w:hyperlink>
          </w:p>
        </w:tc>
      </w:tr>
      <w:tr>
        <w:trPr/>
        <w:tc>
          <w:tcPr>
            <w:tcW w:w="464" w:type="dxa"/>
            <w:tcBorders/>
            <w:shd w:fill="CCEEFF" w:val="clear"/>
            <w:vAlign w:val="center"/>
          </w:tcPr>
          <w:p>
            <w:pPr>
              <w:pStyle w:val="TableContents"/>
              <w:bidi w:val="0"/>
              <w:spacing w:before="0" w:after="283"/>
              <w:jc w:val="center"/>
              <w:rPr/>
            </w:pPr>
            <w:hyperlink w:anchor="tANXAS71">
              <w:r>
                <w:rPr>
                  <w:rStyle w:val="InternetLink"/>
                  <w:rFonts w:ascii="Times New Roman;Times;serif" w:hAnsi="Times New Roman;Times;serif"/>
                  <w:color w:val="000000"/>
                  <w:sz w:val="20"/>
                </w:rPr>
                <w:t>7.1</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Reasonable Best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
              <w:r>
                <w:rPr>
                  <w:rStyle w:val="InternetLink"/>
                  <w:rFonts w:ascii="Times New Roman;Times;serif" w:hAnsi="Times New Roman;Times;serif"/>
                  <w:color w:val="000000"/>
                  <w:sz w:val="20"/>
                </w:rPr>
                <w:t>A-29</w:t>
              </w:r>
            </w:hyperlink>
          </w:p>
        </w:tc>
      </w:tr>
      <w:tr>
        <w:trPr/>
        <w:tc>
          <w:tcPr>
            <w:tcW w:w="464" w:type="dxa"/>
            <w:tcBorders/>
            <w:vAlign w:val="center"/>
          </w:tcPr>
          <w:p>
            <w:pPr>
              <w:pStyle w:val="TableContents"/>
              <w:bidi w:val="0"/>
              <w:spacing w:before="0" w:after="283"/>
              <w:jc w:val="center"/>
              <w:rPr/>
            </w:pPr>
            <w:hyperlink w:anchor="tANXAS72">
              <w:r>
                <w:rPr>
                  <w:rStyle w:val="InternetLink"/>
                  <w:rFonts w:ascii="Times New Roman;Times;serif" w:hAnsi="Times New Roman;Times;serif"/>
                  <w:color w:val="000000"/>
                  <w:sz w:val="20"/>
                </w:rPr>
                <w:t>7.2</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Regulatory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2">
              <w:r>
                <w:rPr>
                  <w:rStyle w:val="InternetLink"/>
                  <w:rFonts w:ascii="Times New Roman;Times;serif" w:hAnsi="Times New Roman;Times;serif"/>
                  <w:color w:val="000000"/>
                  <w:sz w:val="20"/>
                </w:rPr>
                <w:t>A-30</w:t>
              </w:r>
            </w:hyperlink>
          </w:p>
        </w:tc>
      </w:tr>
      <w:tr>
        <w:trPr/>
        <w:tc>
          <w:tcPr>
            <w:tcW w:w="464" w:type="dxa"/>
            <w:tcBorders/>
            <w:shd w:fill="CCEEFF" w:val="clear"/>
            <w:vAlign w:val="center"/>
          </w:tcPr>
          <w:p>
            <w:pPr>
              <w:pStyle w:val="TableContents"/>
              <w:bidi w:val="0"/>
              <w:spacing w:before="0" w:after="283"/>
              <w:jc w:val="center"/>
              <w:rPr/>
            </w:pPr>
            <w:hyperlink w:anchor="tANXAS73">
              <w:r>
                <w:rPr>
                  <w:rStyle w:val="InternetLink"/>
                  <w:rFonts w:ascii="Times New Roman;Times;serif" w:hAnsi="Times New Roman;Times;serif"/>
                  <w:color w:val="000000"/>
                  <w:sz w:val="20"/>
                </w:rPr>
                <w:t>7.3</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Stockholder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3">
              <w:r>
                <w:rPr>
                  <w:rStyle w:val="InternetLink"/>
                  <w:rFonts w:ascii="Times New Roman;Times;serif" w:hAnsi="Times New Roman;Times;serif"/>
                  <w:color w:val="000000"/>
                  <w:sz w:val="20"/>
                </w:rPr>
                <w:t>A-30</w:t>
              </w:r>
            </w:hyperlink>
          </w:p>
        </w:tc>
      </w:tr>
      <w:tr>
        <w:trPr/>
        <w:tc>
          <w:tcPr>
            <w:tcW w:w="464" w:type="dxa"/>
            <w:tcBorders/>
            <w:vAlign w:val="center"/>
          </w:tcPr>
          <w:p>
            <w:pPr>
              <w:pStyle w:val="TableContents"/>
              <w:bidi w:val="0"/>
              <w:spacing w:before="0" w:after="283"/>
              <w:jc w:val="center"/>
              <w:rPr/>
            </w:pPr>
            <w:hyperlink w:anchor="tANXAS74">
              <w:r>
                <w:rPr>
                  <w:rStyle w:val="InternetLink"/>
                  <w:rFonts w:ascii="Times New Roman;Times;serif" w:hAnsi="Times New Roman;Times;serif"/>
                  <w:color w:val="000000"/>
                  <w:sz w:val="20"/>
                </w:rPr>
                <w:t>7.4</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NASDAQ Listing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4">
              <w:r>
                <w:rPr>
                  <w:rStyle w:val="InternetLink"/>
                  <w:rFonts w:ascii="Times New Roman;Times;serif" w:hAnsi="Times New Roman;Times;serif"/>
                  <w:color w:val="000000"/>
                  <w:sz w:val="20"/>
                </w:rPr>
                <w:t xml:space="preserve">A-31 </w:t>
              </w:r>
            </w:hyperlink>
          </w:p>
        </w:tc>
      </w:tr>
      <w:tr>
        <w:trPr/>
        <w:tc>
          <w:tcPr>
            <w:tcW w:w="464" w:type="dxa"/>
            <w:tcBorders/>
            <w:shd w:fill="CCEEFF" w:val="clear"/>
            <w:vAlign w:val="center"/>
          </w:tcPr>
          <w:p>
            <w:pPr>
              <w:pStyle w:val="TableContents"/>
              <w:bidi w:val="0"/>
              <w:spacing w:before="0" w:after="283"/>
              <w:jc w:val="center"/>
              <w:rPr/>
            </w:pPr>
            <w:hyperlink w:anchor="tANXAS75">
              <w:r>
                <w:rPr>
                  <w:rStyle w:val="InternetLink"/>
                  <w:rFonts w:ascii="Times New Roman;Times;serif" w:hAnsi="Times New Roman;Times;serif"/>
                  <w:color w:val="000000"/>
                  <w:sz w:val="20"/>
                </w:rPr>
                <w:t>7.5</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Indemnification; Directors’ and Officers’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5">
              <w:r>
                <w:rPr>
                  <w:rStyle w:val="InternetLink"/>
                  <w:rFonts w:ascii="Times New Roman;Times;serif" w:hAnsi="Times New Roman;Times;serif"/>
                  <w:color w:val="000000"/>
                  <w:sz w:val="20"/>
                </w:rPr>
                <w:t>A-31</w:t>
              </w:r>
            </w:hyperlink>
          </w:p>
        </w:tc>
      </w:tr>
      <w:tr>
        <w:trPr/>
        <w:tc>
          <w:tcPr>
            <w:tcW w:w="464" w:type="dxa"/>
            <w:tcBorders/>
            <w:vAlign w:val="center"/>
          </w:tcPr>
          <w:p>
            <w:pPr>
              <w:pStyle w:val="TableContents"/>
              <w:bidi w:val="0"/>
              <w:spacing w:before="0" w:after="283"/>
              <w:jc w:val="center"/>
              <w:rPr/>
            </w:pPr>
            <w:hyperlink w:anchor="tANXAS76">
              <w:r>
                <w:rPr>
                  <w:rStyle w:val="InternetLink"/>
                  <w:rFonts w:ascii="Times New Roman;Times;serif" w:hAnsi="Times New Roman;Times;serif"/>
                  <w:color w:val="000000"/>
                  <w:sz w:val="20"/>
                </w:rPr>
                <w:t>7.6</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No Solicitation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6">
              <w:r>
                <w:rPr>
                  <w:rStyle w:val="InternetLink"/>
                  <w:rFonts w:ascii="Times New Roman;Times;serif" w:hAnsi="Times New Roman;Times;serif"/>
                  <w:color w:val="000000"/>
                  <w:sz w:val="20"/>
                </w:rPr>
                <w:t>A-32</w:t>
              </w:r>
            </w:hyperlink>
          </w:p>
        </w:tc>
      </w:tr>
      <w:tr>
        <w:trPr/>
        <w:tc>
          <w:tcPr>
            <w:tcW w:w="464" w:type="dxa"/>
            <w:tcBorders/>
            <w:shd w:fill="CCEEFF" w:val="clear"/>
            <w:vAlign w:val="center"/>
          </w:tcPr>
          <w:p>
            <w:pPr>
              <w:pStyle w:val="TableContents"/>
              <w:bidi w:val="0"/>
              <w:spacing w:before="0" w:after="283"/>
              <w:jc w:val="center"/>
              <w:rPr/>
            </w:pPr>
            <w:hyperlink w:anchor="tANXAS77">
              <w:r>
                <w:rPr>
                  <w:rStyle w:val="InternetLink"/>
                  <w:rFonts w:ascii="Times New Roman;Times;serif" w:hAnsi="Times New Roman;Times;serif"/>
                  <w:color w:val="000000"/>
                  <w:sz w:val="20"/>
                </w:rPr>
                <w:t>7.7</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Acquiror Takeover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7">
              <w:r>
                <w:rPr>
                  <w:rStyle w:val="InternetLink"/>
                  <w:rFonts w:ascii="Times New Roman;Times;serif" w:hAnsi="Times New Roman;Times;serif"/>
                  <w:color w:val="000000"/>
                  <w:sz w:val="20"/>
                </w:rPr>
                <w:t>A-33</w:t>
              </w:r>
            </w:hyperlink>
          </w:p>
        </w:tc>
      </w:tr>
      <w:tr>
        <w:trPr/>
        <w:tc>
          <w:tcPr>
            <w:tcW w:w="464" w:type="dxa"/>
            <w:tcBorders/>
            <w:vAlign w:val="center"/>
          </w:tcPr>
          <w:p>
            <w:pPr>
              <w:pStyle w:val="TableContents"/>
              <w:bidi w:val="0"/>
              <w:spacing w:before="0" w:after="283"/>
              <w:jc w:val="center"/>
              <w:rPr/>
            </w:pPr>
            <w:hyperlink w:anchor="tANXAS78">
              <w:r>
                <w:rPr>
                  <w:rStyle w:val="InternetLink"/>
                  <w:rFonts w:ascii="Times New Roman;Times;serif" w:hAnsi="Times New Roman;Times;serif"/>
                  <w:color w:val="000000"/>
                  <w:sz w:val="20"/>
                </w:rPr>
                <w:t>7.8</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Company Takeover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8">
              <w:r>
                <w:rPr>
                  <w:rStyle w:val="InternetLink"/>
                  <w:rFonts w:ascii="Times New Roman;Times;serif" w:hAnsi="Times New Roman;Times;serif"/>
                  <w:color w:val="000000"/>
                  <w:sz w:val="20"/>
                </w:rPr>
                <w:t>A-35</w:t>
              </w:r>
            </w:hyperlink>
          </w:p>
        </w:tc>
      </w:tr>
      <w:tr>
        <w:trPr/>
        <w:tc>
          <w:tcPr>
            <w:tcW w:w="464" w:type="dxa"/>
            <w:tcBorders/>
            <w:shd w:fill="CCEEFF" w:val="clear"/>
            <w:vAlign w:val="center"/>
          </w:tcPr>
          <w:p>
            <w:pPr>
              <w:pStyle w:val="TableContents"/>
              <w:bidi w:val="0"/>
              <w:spacing w:before="0" w:after="283"/>
              <w:jc w:val="center"/>
              <w:rPr/>
            </w:pPr>
            <w:hyperlink w:anchor="tANXAS79">
              <w:r>
                <w:rPr>
                  <w:rStyle w:val="InternetLink"/>
                  <w:rFonts w:ascii="Times New Roman;Times;serif" w:hAnsi="Times New Roman;Times;serif"/>
                  <w:color w:val="000000"/>
                  <w:sz w:val="20"/>
                </w:rPr>
                <w:t>7.9</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Access to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9">
              <w:r>
                <w:rPr>
                  <w:rStyle w:val="InternetLink"/>
                  <w:rFonts w:ascii="Times New Roman;Times;serif" w:hAnsi="Times New Roman;Times;serif"/>
                  <w:color w:val="000000"/>
                  <w:sz w:val="20"/>
                </w:rPr>
                <w:t>A-36</w:t>
              </w:r>
            </w:hyperlink>
          </w:p>
        </w:tc>
      </w:tr>
      <w:tr>
        <w:trPr/>
        <w:tc>
          <w:tcPr>
            <w:tcW w:w="464" w:type="dxa"/>
            <w:tcBorders/>
            <w:vAlign w:val="center"/>
          </w:tcPr>
          <w:p>
            <w:pPr>
              <w:pStyle w:val="TableContents"/>
              <w:bidi w:val="0"/>
              <w:spacing w:before="0" w:after="283"/>
              <w:jc w:val="center"/>
              <w:rPr/>
            </w:pPr>
            <w:hyperlink w:anchor="tANXAS710">
              <w:r>
                <w:rPr>
                  <w:rStyle w:val="InternetLink"/>
                  <w:rFonts w:ascii="Times New Roman;Times;serif" w:hAnsi="Times New Roman;Times;serif"/>
                  <w:color w:val="000000"/>
                  <w:sz w:val="20"/>
                </w:rPr>
                <w:t>7.10</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Publicity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0">
              <w:r>
                <w:rPr>
                  <w:rStyle w:val="InternetLink"/>
                  <w:rFonts w:ascii="Times New Roman;Times;serif" w:hAnsi="Times New Roman;Times;serif"/>
                  <w:color w:val="000000"/>
                  <w:sz w:val="20"/>
                </w:rPr>
                <w:t>A-36</w:t>
              </w:r>
            </w:hyperlink>
          </w:p>
        </w:tc>
      </w:tr>
      <w:tr>
        <w:trPr/>
        <w:tc>
          <w:tcPr>
            <w:tcW w:w="464" w:type="dxa"/>
            <w:tcBorders/>
            <w:shd w:fill="CCEEFF" w:val="clear"/>
            <w:vAlign w:val="center"/>
          </w:tcPr>
          <w:p>
            <w:pPr>
              <w:pStyle w:val="TableContents"/>
              <w:bidi w:val="0"/>
              <w:spacing w:before="0" w:after="283"/>
              <w:jc w:val="center"/>
              <w:rPr/>
            </w:pPr>
            <w:hyperlink w:anchor="tANXAS711">
              <w:r>
                <w:rPr>
                  <w:rStyle w:val="InternetLink"/>
                  <w:rFonts w:ascii="Times New Roman;Times;serif" w:hAnsi="Times New Roman;Times;serif"/>
                  <w:color w:val="000000"/>
                  <w:sz w:val="20"/>
                </w:rPr>
                <w:t>7.11</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Takeover Statutes and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1">
              <w:r>
                <w:rPr>
                  <w:rStyle w:val="InternetLink"/>
                  <w:rFonts w:ascii="Times New Roman;Times;serif" w:hAnsi="Times New Roman;Times;serif"/>
                  <w:color w:val="000000"/>
                  <w:sz w:val="20"/>
                </w:rPr>
                <w:t>A-37</w:t>
              </w:r>
            </w:hyperlink>
          </w:p>
        </w:tc>
      </w:tr>
      <w:tr>
        <w:trPr/>
        <w:tc>
          <w:tcPr>
            <w:tcW w:w="464" w:type="dxa"/>
            <w:tcBorders/>
            <w:vAlign w:val="center"/>
          </w:tcPr>
          <w:p>
            <w:pPr>
              <w:pStyle w:val="TableContents"/>
              <w:bidi w:val="0"/>
              <w:spacing w:before="0" w:after="283"/>
              <w:jc w:val="center"/>
              <w:rPr/>
            </w:pPr>
            <w:hyperlink w:anchor="tANXAS712">
              <w:r>
                <w:rPr>
                  <w:rStyle w:val="InternetLink"/>
                  <w:rFonts w:ascii="Times New Roman;Times;serif" w:hAnsi="Times New Roman;Times;serif"/>
                  <w:color w:val="000000"/>
                  <w:sz w:val="20"/>
                </w:rPr>
                <w:t>7.12</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2">
              <w:r>
                <w:rPr>
                  <w:rStyle w:val="InternetLink"/>
                  <w:rFonts w:ascii="Times New Roman;Times;serif" w:hAnsi="Times New Roman;Times;serif"/>
                  <w:color w:val="000000"/>
                  <w:sz w:val="20"/>
                </w:rPr>
                <w:t>A-37</w:t>
              </w:r>
            </w:hyperlink>
          </w:p>
        </w:tc>
      </w:tr>
      <w:tr>
        <w:trPr/>
        <w:tc>
          <w:tcPr>
            <w:tcW w:w="464" w:type="dxa"/>
            <w:tcBorders/>
            <w:shd w:fill="CCEEFF" w:val="clear"/>
            <w:vAlign w:val="center"/>
          </w:tcPr>
          <w:p>
            <w:pPr>
              <w:pStyle w:val="TableContents"/>
              <w:bidi w:val="0"/>
              <w:spacing w:before="0" w:after="283"/>
              <w:jc w:val="center"/>
              <w:rPr/>
            </w:pPr>
            <w:hyperlink w:anchor="tANXAS713">
              <w:r>
                <w:rPr>
                  <w:rStyle w:val="InternetLink"/>
                  <w:rFonts w:ascii="Times New Roman;Times;serif" w:hAnsi="Times New Roman;Times;serif"/>
                  <w:color w:val="000000"/>
                  <w:sz w:val="20"/>
                </w:rPr>
                <w:t>7.13</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3">
              <w:r>
                <w:rPr>
                  <w:rStyle w:val="InternetLink"/>
                  <w:rFonts w:ascii="Times New Roman;Times;serif" w:hAnsi="Times New Roman;Times;serif"/>
                  <w:color w:val="000000"/>
                  <w:sz w:val="20"/>
                </w:rPr>
                <w:t>A-38</w:t>
              </w:r>
            </w:hyperlink>
          </w:p>
        </w:tc>
      </w:tr>
      <w:tr>
        <w:trPr/>
        <w:tc>
          <w:tcPr>
            <w:tcW w:w="464" w:type="dxa"/>
            <w:tcBorders/>
            <w:vAlign w:val="center"/>
          </w:tcPr>
          <w:p>
            <w:pPr>
              <w:pStyle w:val="TableContents"/>
              <w:bidi w:val="0"/>
              <w:spacing w:before="0" w:after="283"/>
              <w:jc w:val="center"/>
              <w:rPr/>
            </w:pPr>
            <w:hyperlink w:anchor="tANXAS714">
              <w:r>
                <w:rPr>
                  <w:rStyle w:val="InternetLink"/>
                  <w:rFonts w:ascii="Times New Roman;Times;serif" w:hAnsi="Times New Roman;Times;serif"/>
                  <w:color w:val="000000"/>
                  <w:sz w:val="20"/>
                </w:rPr>
                <w:t>7.14</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4">
              <w:r>
                <w:rPr>
                  <w:rStyle w:val="InternetLink"/>
                  <w:rFonts w:ascii="Times New Roman;Times;serif" w:hAnsi="Times New Roman;Times;serif"/>
                  <w:color w:val="000000"/>
                  <w:sz w:val="20"/>
                </w:rPr>
                <w:t>A-38</w:t>
              </w:r>
            </w:hyperlink>
          </w:p>
        </w:tc>
      </w:tr>
      <w:tr>
        <w:trPr/>
        <w:tc>
          <w:tcPr>
            <w:tcW w:w="464" w:type="dxa"/>
            <w:tcBorders/>
            <w:shd w:fill="CCEEFF" w:val="clear"/>
            <w:vAlign w:val="center"/>
          </w:tcPr>
          <w:p>
            <w:pPr>
              <w:pStyle w:val="TableContents"/>
              <w:bidi w:val="0"/>
              <w:spacing w:before="0" w:after="283"/>
              <w:jc w:val="center"/>
              <w:rPr/>
            </w:pPr>
            <w:hyperlink w:anchor="tANXAS715">
              <w:r>
                <w:rPr>
                  <w:rStyle w:val="InternetLink"/>
                  <w:rFonts w:ascii="Times New Roman;Times;serif" w:hAnsi="Times New Roman;Times;serif"/>
                  <w:color w:val="000000"/>
                  <w:sz w:val="20"/>
                </w:rPr>
                <w:t>7.15</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No Other Representations or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5">
              <w:r>
                <w:rPr>
                  <w:rStyle w:val="InternetLink"/>
                  <w:rFonts w:ascii="Times New Roman;Times;serif" w:hAnsi="Times New Roman;Times;serif"/>
                  <w:color w:val="000000"/>
                  <w:sz w:val="20"/>
                </w:rPr>
                <w:t>A-38</w:t>
              </w:r>
            </w:hyperlink>
          </w:p>
        </w:tc>
      </w:tr>
      <w:tr>
        <w:trPr/>
        <w:tc>
          <w:tcPr>
            <w:tcW w:w="464" w:type="dxa"/>
            <w:tcBorders/>
            <w:vAlign w:val="center"/>
          </w:tcPr>
          <w:p>
            <w:pPr>
              <w:pStyle w:val="TableContents"/>
              <w:bidi w:val="0"/>
              <w:spacing w:before="0" w:after="283"/>
              <w:jc w:val="center"/>
              <w:rPr/>
            </w:pPr>
            <w:hyperlink w:anchor="tANXAS716">
              <w:r>
                <w:rPr>
                  <w:rStyle w:val="InternetLink"/>
                  <w:rFonts w:ascii="Times New Roman;Times;serif" w:hAnsi="Times New Roman;Times;serif"/>
                  <w:color w:val="000000"/>
                  <w:sz w:val="20"/>
                </w:rPr>
                <w:t>7.16</w:t>
              </w:r>
            </w:hyperlink>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5510"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Coordination of 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16">
              <w:r>
                <w:rPr>
                  <w:rStyle w:val="InternetLink"/>
                  <w:rFonts w:ascii="Times New Roman;Times;serif" w:hAnsi="Times New Roman;Times;serif"/>
                  <w:color w:val="000000"/>
                  <w:sz w:val="20"/>
                </w:rPr>
                <w:t>A-38</w:t>
              </w:r>
            </w:hyperlink>
          </w:p>
        </w:tc>
      </w:tr>
      <w:tr>
        <w:trPr/>
        <w:tc>
          <w:tcPr>
            <w:tcW w:w="464" w:type="dxa"/>
            <w:tcBorders/>
            <w:shd w:fill="CCEEFF" w:val="clear"/>
            <w:vAlign w:val="center"/>
          </w:tcPr>
          <w:p>
            <w:pPr>
              <w:pStyle w:val="TableContents"/>
              <w:bidi w:val="0"/>
              <w:spacing w:before="0" w:after="283"/>
              <w:jc w:val="center"/>
              <w:rPr/>
            </w:pPr>
            <w:hyperlink w:anchor="tANXAS717">
              <w:r>
                <w:rPr>
                  <w:rStyle w:val="InternetLink"/>
                  <w:rFonts w:ascii="Times New Roman;Times;serif" w:hAnsi="Times New Roman;Times;serif"/>
                  <w:color w:val="000000"/>
                  <w:sz w:val="20"/>
                </w:rPr>
                <w:t>7.17</w:t>
              </w:r>
            </w:hyperlink>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Share Repurchase Program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17">
              <w:r>
                <w:rPr>
                  <w:rStyle w:val="InternetLink"/>
                  <w:rFonts w:ascii="Times New Roman;Times;serif" w:hAnsi="Times New Roman;Times;serif"/>
                  <w:color w:val="000000"/>
                  <w:sz w:val="20"/>
                </w:rPr>
                <w:t>A-38</w:t>
              </w:r>
            </w:hyperlink>
          </w:p>
        </w:tc>
      </w:tr>
      <w:tr>
        <w:trPr/>
        <w:tc>
          <w:tcPr>
            <w:tcW w:w="4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0"/>
              <w:jc w:val="left"/>
              <w:rPr/>
            </w:pPr>
            <w:r>
              <w:rPr/>
              <w:t> </w:t>
            </w:r>
          </w:p>
        </w:tc>
        <w:tc>
          <w:tcPr>
            <w:tcW w:w="55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77966x1_n14_300-annexa_pg4"/>
        <w:bookmarkEnd w:id="279"/>
        <w:r>
          <w:rPr>
            <w:rStyle w:val="InternetLink"/>
            <w:rFonts w:ascii="Times New Roman;Times;Serif" w:hAnsi="Times New Roman;Times;Serif"/>
            <w:b/>
            <w:caps w:val="false"/>
            <w:smallCaps w:val="false"/>
            <w:color w:val="000000"/>
            <w:sz w:val="16"/>
          </w:rPr>
          <w:t>TABLE OF CONTENTS</w:t>
        </w:r>
      </w:hyperlink>
    </w:p>
    <w:tbl>
      <w:tblPr>
        <w:tblW w:w="6560" w:type="dxa"/>
        <w:jc w:val="left"/>
        <w:tblInd w:w="0" w:type="dxa"/>
        <w:tblLayout w:type="fixed"/>
        <w:tblCellMar>
          <w:top w:w="0" w:type="dxa"/>
          <w:left w:w="0" w:type="dxa"/>
          <w:bottom w:w="0" w:type="dxa"/>
          <w:right w:w="0" w:type="dxa"/>
        </w:tblCellMar>
      </w:tblPr>
      <w:tblGrid>
        <w:gridCol w:w="395"/>
        <w:gridCol w:w="140"/>
        <w:gridCol w:w="140"/>
        <w:gridCol w:w="5165"/>
        <w:gridCol w:w="140"/>
        <w:gridCol w:w="140"/>
        <w:gridCol w:w="440"/>
      </w:tblGrid>
      <w:tr>
        <w:trPr/>
        <w:tc>
          <w:tcPr>
            <w:tcW w:w="3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840" w:type="dxa"/>
            <w:gridSpan w:val="4"/>
            <w:tcBorders/>
            <w:shd w:fill="CCEEFF" w:val="clear"/>
            <w:vAlign w:val="center"/>
          </w:tcPr>
          <w:p>
            <w:pPr>
              <w:pStyle w:val="TableContents"/>
              <w:bidi w:val="0"/>
              <w:spacing w:before="0" w:after="283"/>
              <w:jc w:val="center"/>
              <w:rPr/>
            </w:pPr>
            <w:hyperlink w:anchor="tANXAA8">
              <w:r>
                <w:rPr>
                  <w:rStyle w:val="InternetLink"/>
                  <w:rFonts w:ascii="Times New Roman;Times;serif" w:hAnsi="Times New Roman;Times;serif"/>
                  <w:color w:val="000000"/>
                  <w:sz w:val="20"/>
                </w:rPr>
                <w:t>ARTICLE VIII CONDITIONS PRECEDENT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8">
              <w:r>
                <w:rPr>
                  <w:rStyle w:val="InternetLink"/>
                  <w:rFonts w:ascii="Times New Roman;Times;serif" w:hAnsi="Times New Roman;Times;serif"/>
                  <w:color w:val="000000"/>
                  <w:sz w:val="20"/>
                </w:rPr>
                <w:t>A-38</w:t>
              </w:r>
            </w:hyperlink>
          </w:p>
        </w:tc>
      </w:tr>
      <w:tr>
        <w:trPr/>
        <w:tc>
          <w:tcPr>
            <w:tcW w:w="395" w:type="dxa"/>
            <w:tcBorders/>
            <w:vAlign w:val="center"/>
          </w:tcPr>
          <w:p>
            <w:pPr>
              <w:pStyle w:val="TableContents"/>
              <w:bidi w:val="0"/>
              <w:spacing w:before="0" w:after="283"/>
              <w:jc w:val="center"/>
              <w:rPr/>
            </w:pPr>
            <w:hyperlink w:anchor="tANXAS81">
              <w:r>
                <w:rPr>
                  <w:rStyle w:val="InternetLink"/>
                  <w:rFonts w:ascii="Times New Roman;Times;serif" w:hAnsi="Times New Roman;Times;serif"/>
                  <w:color w:val="000000"/>
                  <w:sz w:val="20"/>
                </w:rPr>
                <w:t>8.1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Conditions to Each Party’s Obligations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81">
              <w:r>
                <w:rPr>
                  <w:rStyle w:val="InternetLink"/>
                  <w:rFonts w:ascii="Times New Roman;Times;serif" w:hAnsi="Times New Roman;Times;serif"/>
                  <w:color w:val="000000"/>
                  <w:sz w:val="20"/>
                </w:rPr>
                <w:t>A-38</w:t>
              </w:r>
            </w:hyperlink>
          </w:p>
        </w:tc>
      </w:tr>
      <w:tr>
        <w:trPr/>
        <w:tc>
          <w:tcPr>
            <w:tcW w:w="395" w:type="dxa"/>
            <w:tcBorders/>
            <w:shd w:fill="CCEEFF" w:val="clear"/>
            <w:vAlign w:val="center"/>
          </w:tcPr>
          <w:p>
            <w:pPr>
              <w:pStyle w:val="TableContents"/>
              <w:bidi w:val="0"/>
              <w:spacing w:before="0" w:after="283"/>
              <w:jc w:val="center"/>
              <w:rPr/>
            </w:pPr>
            <w:hyperlink w:anchor="tANXAS82">
              <w:r>
                <w:rPr>
                  <w:rStyle w:val="InternetLink"/>
                  <w:rFonts w:ascii="Times New Roman;Times;serif" w:hAnsi="Times New Roman;Times;serif"/>
                  <w:color w:val="000000"/>
                  <w:sz w:val="20"/>
                </w:rPr>
                <w:t>8.2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Conditions to Obligations of Acquiror to Effect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82">
              <w:r>
                <w:rPr>
                  <w:rStyle w:val="InternetLink"/>
                  <w:rFonts w:ascii="Times New Roman;Times;serif" w:hAnsi="Times New Roman;Times;serif"/>
                  <w:color w:val="000000"/>
                  <w:sz w:val="20"/>
                </w:rPr>
                <w:t>A-39</w:t>
              </w:r>
            </w:hyperlink>
          </w:p>
        </w:tc>
      </w:tr>
      <w:tr>
        <w:trPr/>
        <w:tc>
          <w:tcPr>
            <w:tcW w:w="395" w:type="dxa"/>
            <w:tcBorders/>
            <w:vAlign w:val="center"/>
          </w:tcPr>
          <w:p>
            <w:pPr>
              <w:pStyle w:val="TableContents"/>
              <w:bidi w:val="0"/>
              <w:spacing w:before="0" w:after="283"/>
              <w:jc w:val="center"/>
              <w:rPr/>
            </w:pPr>
            <w:hyperlink w:anchor="tANXAS83">
              <w:r>
                <w:rPr>
                  <w:rStyle w:val="InternetLink"/>
                  <w:rFonts w:ascii="Times New Roman;Times;serif" w:hAnsi="Times New Roman;Times;serif"/>
                  <w:color w:val="000000"/>
                  <w:sz w:val="20"/>
                </w:rPr>
                <w:t>8.3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Conditions to Obligations of the Company to Effect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83">
              <w:r>
                <w:rPr>
                  <w:rStyle w:val="InternetLink"/>
                  <w:rFonts w:ascii="Times New Roman;Times;serif" w:hAnsi="Times New Roman;Times;serif"/>
                  <w:color w:val="000000"/>
                  <w:sz w:val="20"/>
                </w:rPr>
                <w:t>A-40</w:t>
              </w:r>
            </w:hyperlink>
          </w:p>
        </w:tc>
      </w:tr>
      <w:tr>
        <w:trPr/>
        <w:tc>
          <w:tcPr>
            <w:tcW w:w="395" w:type="dxa"/>
            <w:tcBorders/>
            <w:shd w:fill="CCEEFF" w:val="clear"/>
            <w:vAlign w:val="center"/>
          </w:tcPr>
          <w:p>
            <w:pPr>
              <w:pStyle w:val="TableContents"/>
              <w:bidi w:val="0"/>
              <w:spacing w:before="0" w:after="283"/>
              <w:jc w:val="center"/>
              <w:rPr/>
            </w:pPr>
            <w:hyperlink w:anchor="tANXAS84">
              <w:r>
                <w:rPr>
                  <w:rStyle w:val="InternetLink"/>
                  <w:rFonts w:ascii="Times New Roman;Times;serif" w:hAnsi="Times New Roman;Times;serif"/>
                  <w:color w:val="000000"/>
                  <w:sz w:val="20"/>
                </w:rPr>
                <w:t>8.4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Frustration of Closing Conditions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84">
              <w:r>
                <w:rPr>
                  <w:rStyle w:val="InternetLink"/>
                  <w:rFonts w:ascii="Times New Roman;Times;serif" w:hAnsi="Times New Roman;Times;serif"/>
                  <w:color w:val="000000"/>
                  <w:sz w:val="20"/>
                </w:rPr>
                <w:t>A-41</w:t>
              </w:r>
            </w:hyperlink>
          </w:p>
        </w:tc>
      </w:tr>
      <w:tr>
        <w:trPr/>
        <w:tc>
          <w:tcPr>
            <w:tcW w:w="5840" w:type="dxa"/>
            <w:gridSpan w:val="4"/>
            <w:tcBorders/>
            <w:vAlign w:val="center"/>
          </w:tcPr>
          <w:p>
            <w:pPr>
              <w:pStyle w:val="TableContents"/>
              <w:bidi w:val="0"/>
              <w:spacing w:before="0" w:after="283"/>
              <w:jc w:val="center"/>
              <w:rPr/>
            </w:pPr>
            <w:hyperlink w:anchor="tANXAA9">
              <w:r>
                <w:rPr>
                  <w:rStyle w:val="InternetLink"/>
                  <w:rFonts w:ascii="Times New Roman;Times;serif" w:hAnsi="Times New Roman;Times;serif"/>
                  <w:color w:val="000000"/>
                  <w:sz w:val="20"/>
                </w:rPr>
                <w:t>ARTICLE IX TERMINATION AND 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A9">
              <w:r>
                <w:rPr>
                  <w:rStyle w:val="InternetLink"/>
                  <w:rFonts w:ascii="Times New Roman;Times;serif" w:hAnsi="Times New Roman;Times;serif"/>
                  <w:color w:val="000000"/>
                  <w:sz w:val="20"/>
                </w:rPr>
                <w:t>A-41</w:t>
              </w:r>
            </w:hyperlink>
          </w:p>
        </w:tc>
      </w:tr>
      <w:tr>
        <w:trPr/>
        <w:tc>
          <w:tcPr>
            <w:tcW w:w="395" w:type="dxa"/>
            <w:tcBorders/>
            <w:shd w:fill="CCEEFF" w:val="clear"/>
            <w:vAlign w:val="center"/>
          </w:tcPr>
          <w:p>
            <w:pPr>
              <w:pStyle w:val="TableContents"/>
              <w:bidi w:val="0"/>
              <w:spacing w:before="0" w:after="283"/>
              <w:jc w:val="center"/>
              <w:rPr/>
            </w:pPr>
            <w:hyperlink w:anchor="tANXAS91">
              <w:r>
                <w:rPr>
                  <w:rStyle w:val="InternetLink"/>
                  <w:rFonts w:ascii="Times New Roman;Times;serif" w:hAnsi="Times New Roman;Times;serif"/>
                  <w:color w:val="000000"/>
                  <w:sz w:val="20"/>
                </w:rPr>
                <w:t>9.1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91">
              <w:r>
                <w:rPr>
                  <w:rStyle w:val="InternetLink"/>
                  <w:rFonts w:ascii="Times New Roman;Times;serif" w:hAnsi="Times New Roman;Times;serif"/>
                  <w:color w:val="000000"/>
                  <w:sz w:val="20"/>
                </w:rPr>
                <w:t>A-41</w:t>
              </w:r>
            </w:hyperlink>
          </w:p>
        </w:tc>
      </w:tr>
      <w:tr>
        <w:trPr/>
        <w:tc>
          <w:tcPr>
            <w:tcW w:w="395" w:type="dxa"/>
            <w:tcBorders/>
            <w:vAlign w:val="center"/>
          </w:tcPr>
          <w:p>
            <w:pPr>
              <w:pStyle w:val="TableContents"/>
              <w:bidi w:val="0"/>
              <w:spacing w:before="0" w:after="283"/>
              <w:jc w:val="center"/>
              <w:rPr/>
            </w:pPr>
            <w:hyperlink w:anchor="tANXAS92">
              <w:r>
                <w:rPr>
                  <w:rStyle w:val="InternetLink"/>
                  <w:rFonts w:ascii="Times New Roman;Times;serif" w:hAnsi="Times New Roman;Times;serif"/>
                  <w:color w:val="000000"/>
                  <w:sz w:val="20"/>
                </w:rPr>
                <w:t>9.2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[Reserved].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92">
              <w:r>
                <w:rPr>
                  <w:rStyle w:val="InternetLink"/>
                  <w:rFonts w:ascii="Times New Roman;Times;serif" w:hAnsi="Times New Roman;Times;serif"/>
                  <w:color w:val="000000"/>
                  <w:sz w:val="20"/>
                </w:rPr>
                <w:t>A-43</w:t>
              </w:r>
            </w:hyperlink>
          </w:p>
        </w:tc>
      </w:tr>
      <w:tr>
        <w:trPr/>
        <w:tc>
          <w:tcPr>
            <w:tcW w:w="395" w:type="dxa"/>
            <w:tcBorders/>
            <w:shd w:fill="CCEEFF" w:val="clear"/>
            <w:vAlign w:val="center"/>
          </w:tcPr>
          <w:p>
            <w:pPr>
              <w:pStyle w:val="TableContents"/>
              <w:bidi w:val="0"/>
              <w:spacing w:before="0" w:after="283"/>
              <w:jc w:val="center"/>
              <w:rPr/>
            </w:pPr>
            <w:hyperlink w:anchor="tANXAS93">
              <w:r>
                <w:rPr>
                  <w:rStyle w:val="InternetLink"/>
                  <w:rFonts w:ascii="Times New Roman;Times;serif" w:hAnsi="Times New Roman;Times;serif"/>
                  <w:color w:val="000000"/>
                  <w:sz w:val="20"/>
                </w:rPr>
                <w:t>9.3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93">
              <w:r>
                <w:rPr>
                  <w:rStyle w:val="InternetLink"/>
                  <w:rFonts w:ascii="Times New Roman;Times;serif" w:hAnsi="Times New Roman;Times;serif"/>
                  <w:color w:val="000000"/>
                  <w:sz w:val="20"/>
                </w:rPr>
                <w:t>A-43</w:t>
              </w:r>
            </w:hyperlink>
          </w:p>
        </w:tc>
      </w:tr>
      <w:tr>
        <w:trPr/>
        <w:tc>
          <w:tcPr>
            <w:tcW w:w="395" w:type="dxa"/>
            <w:tcBorders/>
            <w:vAlign w:val="center"/>
          </w:tcPr>
          <w:p>
            <w:pPr>
              <w:pStyle w:val="TableContents"/>
              <w:bidi w:val="0"/>
              <w:spacing w:before="0" w:after="283"/>
              <w:jc w:val="center"/>
              <w:rPr/>
            </w:pPr>
            <w:hyperlink w:anchor="tANXAS94">
              <w:r>
                <w:rPr>
                  <w:rStyle w:val="InternetLink"/>
                  <w:rFonts w:ascii="Times New Roman;Times;serif" w:hAnsi="Times New Roman;Times;serif"/>
                  <w:color w:val="000000"/>
                  <w:sz w:val="20"/>
                </w:rPr>
                <w:t>9.4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94">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94">
              <w:r>
                <w:rPr>
                  <w:rStyle w:val="InternetLink"/>
                  <w:rFonts w:ascii="Times New Roman;Times;serif" w:hAnsi="Times New Roman;Times;serif"/>
                  <w:color w:val="000000"/>
                  <w:sz w:val="20"/>
                </w:rPr>
                <w:t>A-43</w:t>
              </w:r>
            </w:hyperlink>
          </w:p>
        </w:tc>
      </w:tr>
      <w:tr>
        <w:trPr/>
        <w:tc>
          <w:tcPr>
            <w:tcW w:w="395" w:type="dxa"/>
            <w:tcBorders/>
            <w:shd w:fill="CCEEFF" w:val="clear"/>
            <w:vAlign w:val="center"/>
          </w:tcPr>
          <w:p>
            <w:pPr>
              <w:pStyle w:val="TableContents"/>
              <w:bidi w:val="0"/>
              <w:spacing w:before="0" w:after="283"/>
              <w:jc w:val="center"/>
              <w:rPr/>
            </w:pPr>
            <w:hyperlink w:anchor="tANXAS95">
              <w:r>
                <w:rPr>
                  <w:rStyle w:val="InternetLink"/>
                  <w:rFonts w:ascii="Times New Roman;Times;serif" w:hAnsi="Times New Roman;Times;serif"/>
                  <w:color w:val="000000"/>
                  <w:sz w:val="20"/>
                </w:rPr>
                <w:t>9.5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95">
              <w:r>
                <w:rPr>
                  <w:rStyle w:val="InternetLink"/>
                  <w:rFonts w:ascii="Times New Roman;Times;serif" w:hAnsi="Times New Roman;Times;serif"/>
                  <w:color w:val="000000"/>
                  <w:sz w:val="20"/>
                </w:rPr>
                <w:t>Amendment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95">
              <w:r>
                <w:rPr>
                  <w:rStyle w:val="InternetLink"/>
                  <w:rFonts w:ascii="Times New Roman;Times;serif" w:hAnsi="Times New Roman;Times;serif"/>
                  <w:color w:val="000000"/>
                  <w:sz w:val="20"/>
                </w:rPr>
                <w:t>A-43</w:t>
              </w:r>
            </w:hyperlink>
          </w:p>
        </w:tc>
      </w:tr>
      <w:tr>
        <w:trPr/>
        <w:tc>
          <w:tcPr>
            <w:tcW w:w="395" w:type="dxa"/>
            <w:tcBorders/>
            <w:vAlign w:val="center"/>
          </w:tcPr>
          <w:p>
            <w:pPr>
              <w:pStyle w:val="TableContents"/>
              <w:bidi w:val="0"/>
              <w:spacing w:before="0" w:after="283"/>
              <w:jc w:val="center"/>
              <w:rPr/>
            </w:pPr>
            <w:hyperlink w:anchor="tANXAS96">
              <w:r>
                <w:rPr>
                  <w:rStyle w:val="InternetLink"/>
                  <w:rFonts w:ascii="Times New Roman;Times;serif" w:hAnsi="Times New Roman;Times;serif"/>
                  <w:color w:val="000000"/>
                  <w:sz w:val="20"/>
                </w:rPr>
                <w:t>9.6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96">
              <w:r>
                <w:rPr>
                  <w:rStyle w:val="InternetLink"/>
                  <w:rFonts w:ascii="Times New Roman;Times;serif" w:hAnsi="Times New Roman;Times;serif"/>
                  <w:color w:val="000000"/>
                  <w:sz w:val="20"/>
                </w:rPr>
                <w:t>Extension;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96">
              <w:r>
                <w:rPr>
                  <w:rStyle w:val="InternetLink"/>
                  <w:rFonts w:ascii="Times New Roman;Times;serif" w:hAnsi="Times New Roman;Times;serif"/>
                  <w:color w:val="000000"/>
                  <w:sz w:val="20"/>
                </w:rPr>
                <w:t>A-44</w:t>
              </w:r>
            </w:hyperlink>
          </w:p>
        </w:tc>
      </w:tr>
      <w:tr>
        <w:trPr/>
        <w:tc>
          <w:tcPr>
            <w:tcW w:w="5840" w:type="dxa"/>
            <w:gridSpan w:val="4"/>
            <w:tcBorders/>
            <w:shd w:fill="CCEEFF" w:val="clear"/>
            <w:vAlign w:val="center"/>
          </w:tcPr>
          <w:p>
            <w:pPr>
              <w:pStyle w:val="TableContents"/>
              <w:bidi w:val="0"/>
              <w:spacing w:before="0" w:after="283"/>
              <w:jc w:val="center"/>
              <w:rPr/>
            </w:pPr>
            <w:hyperlink w:anchor="tANXAA10">
              <w:r>
                <w:rPr>
                  <w:rStyle w:val="InternetLink"/>
                  <w:rFonts w:ascii="Times New Roman;Times;serif" w:hAnsi="Times New Roman;Times;serif"/>
                  <w:color w:val="000000"/>
                  <w:sz w:val="20"/>
                </w:rPr>
                <w:t>ARTICLE X CERTAIN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A10">
              <w:r>
                <w:rPr>
                  <w:rStyle w:val="InternetLink"/>
                  <w:rFonts w:ascii="Times New Roman;Times;serif" w:hAnsi="Times New Roman;Times;serif"/>
                  <w:color w:val="000000"/>
                  <w:sz w:val="20"/>
                </w:rPr>
                <w:t>A-44</w:t>
              </w:r>
            </w:hyperlink>
          </w:p>
        </w:tc>
      </w:tr>
      <w:tr>
        <w:trPr/>
        <w:tc>
          <w:tcPr>
            <w:tcW w:w="5840" w:type="dxa"/>
            <w:gridSpan w:val="4"/>
            <w:tcBorders/>
            <w:vAlign w:val="center"/>
          </w:tcPr>
          <w:p>
            <w:pPr>
              <w:pStyle w:val="TableContents"/>
              <w:bidi w:val="0"/>
              <w:spacing w:before="0" w:after="283"/>
              <w:jc w:val="center"/>
              <w:rPr/>
            </w:pPr>
            <w:hyperlink w:anchor="tANXAA11">
              <w:r>
                <w:rPr>
                  <w:rStyle w:val="InternetLink"/>
                  <w:rFonts w:ascii="Times New Roman;Times;serif" w:hAnsi="Times New Roman;Times;serif"/>
                  <w:color w:val="000000"/>
                  <w:sz w:val="20"/>
                </w:rPr>
                <w:t>ARTICLE XI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A11">
              <w:r>
                <w:rPr>
                  <w:rStyle w:val="InternetLink"/>
                  <w:rFonts w:ascii="Times New Roman;Times;serif" w:hAnsi="Times New Roman;Times;serif"/>
                  <w:color w:val="000000"/>
                  <w:sz w:val="20"/>
                </w:rPr>
                <w:t>A-50</w:t>
              </w:r>
            </w:hyperlink>
          </w:p>
        </w:tc>
      </w:tr>
      <w:tr>
        <w:trPr/>
        <w:tc>
          <w:tcPr>
            <w:tcW w:w="395" w:type="dxa"/>
            <w:tcBorders/>
            <w:shd w:fill="CCEEFF" w:val="clear"/>
            <w:vAlign w:val="center"/>
          </w:tcPr>
          <w:p>
            <w:pPr>
              <w:pStyle w:val="TableContents"/>
              <w:bidi w:val="0"/>
              <w:spacing w:before="0" w:after="283"/>
              <w:jc w:val="center"/>
              <w:rPr/>
            </w:pPr>
            <w:hyperlink w:anchor="tANXAS111">
              <w:r>
                <w:rPr>
                  <w:rStyle w:val="InternetLink"/>
                  <w:rFonts w:ascii="Times New Roman;Times;serif" w:hAnsi="Times New Roman;Times;serif"/>
                  <w:color w:val="000000"/>
                  <w:sz w:val="20"/>
                </w:rPr>
                <w:t>11.1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1">
              <w:r>
                <w:rPr>
                  <w:rStyle w:val="InternetLink"/>
                  <w:rFonts w:ascii="Times New Roman;Times;serif" w:hAnsi="Times New Roman;Times;serif"/>
                  <w:color w:val="000000"/>
                  <w:sz w:val="20"/>
                </w:rPr>
                <w:t>Nonsurvival of Representations, Warranties and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1">
              <w:r>
                <w:rPr>
                  <w:rStyle w:val="InternetLink"/>
                  <w:rFonts w:ascii="Times New Roman;Times;serif" w:hAnsi="Times New Roman;Times;serif"/>
                  <w:color w:val="000000"/>
                  <w:sz w:val="20"/>
                </w:rPr>
                <w:t>A-50</w:t>
              </w:r>
            </w:hyperlink>
          </w:p>
        </w:tc>
      </w:tr>
      <w:tr>
        <w:trPr/>
        <w:tc>
          <w:tcPr>
            <w:tcW w:w="395" w:type="dxa"/>
            <w:tcBorders/>
            <w:vAlign w:val="center"/>
          </w:tcPr>
          <w:p>
            <w:pPr>
              <w:pStyle w:val="TableContents"/>
              <w:bidi w:val="0"/>
              <w:spacing w:before="0" w:after="283"/>
              <w:jc w:val="center"/>
              <w:rPr/>
            </w:pPr>
            <w:hyperlink w:anchor="tANXAS112">
              <w:r>
                <w:rPr>
                  <w:rStyle w:val="InternetLink"/>
                  <w:rFonts w:ascii="Times New Roman;Times;serif" w:hAnsi="Times New Roman;Times;serif"/>
                  <w:color w:val="000000"/>
                  <w:sz w:val="20"/>
                </w:rPr>
                <w:t>11.2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2">
              <w:r>
                <w:rPr>
                  <w:rStyle w:val="InternetLink"/>
                  <w:rFonts w:ascii="Times New Roman;Times;serif" w:hAnsi="Times New Roman;Times;serif"/>
                  <w:color w:val="000000"/>
                  <w:sz w:val="20"/>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2">
              <w:r>
                <w:rPr>
                  <w:rStyle w:val="InternetLink"/>
                  <w:rFonts w:ascii="Times New Roman;Times;serif" w:hAnsi="Times New Roman;Times;serif"/>
                  <w:color w:val="000000"/>
                  <w:sz w:val="20"/>
                </w:rPr>
                <w:t>A-50</w:t>
              </w:r>
            </w:hyperlink>
          </w:p>
        </w:tc>
      </w:tr>
      <w:tr>
        <w:trPr/>
        <w:tc>
          <w:tcPr>
            <w:tcW w:w="395" w:type="dxa"/>
            <w:tcBorders/>
            <w:shd w:fill="CCEEFF" w:val="clear"/>
            <w:vAlign w:val="center"/>
          </w:tcPr>
          <w:p>
            <w:pPr>
              <w:pStyle w:val="TableContents"/>
              <w:bidi w:val="0"/>
              <w:spacing w:before="0" w:after="283"/>
              <w:jc w:val="center"/>
              <w:rPr/>
            </w:pPr>
            <w:hyperlink w:anchor="tANXAS113">
              <w:r>
                <w:rPr>
                  <w:rStyle w:val="InternetLink"/>
                  <w:rFonts w:ascii="Times New Roman;Times;serif" w:hAnsi="Times New Roman;Times;serif"/>
                  <w:color w:val="000000"/>
                  <w:sz w:val="20"/>
                </w:rPr>
                <w:t>11.3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3">
              <w:r>
                <w:rPr>
                  <w:rStyle w:val="InternetLink"/>
                  <w:rFonts w:ascii="Times New Roman;Times;serif" w:hAnsi="Times New Roman;Times;serif"/>
                  <w:color w:val="000000"/>
                  <w:sz w:val="20"/>
                </w:rPr>
                <w:t>Interpretation; 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3">
              <w:r>
                <w:rPr>
                  <w:rStyle w:val="InternetLink"/>
                  <w:rFonts w:ascii="Times New Roman;Times;serif" w:hAnsi="Times New Roman;Times;serif"/>
                  <w:color w:val="000000"/>
                  <w:sz w:val="20"/>
                </w:rPr>
                <w:t>A-51</w:t>
              </w:r>
            </w:hyperlink>
          </w:p>
        </w:tc>
      </w:tr>
      <w:tr>
        <w:trPr/>
        <w:tc>
          <w:tcPr>
            <w:tcW w:w="395" w:type="dxa"/>
            <w:tcBorders/>
            <w:vAlign w:val="center"/>
          </w:tcPr>
          <w:p>
            <w:pPr>
              <w:pStyle w:val="TableContents"/>
              <w:bidi w:val="0"/>
              <w:spacing w:before="0" w:after="283"/>
              <w:jc w:val="center"/>
              <w:rPr/>
            </w:pPr>
            <w:hyperlink w:anchor="tANXAS114">
              <w:r>
                <w:rPr>
                  <w:rStyle w:val="InternetLink"/>
                  <w:rFonts w:ascii="Times New Roman;Times;serif" w:hAnsi="Times New Roman;Times;serif"/>
                  <w:color w:val="000000"/>
                  <w:sz w:val="20"/>
                </w:rPr>
                <w:t>11.4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4">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4">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283"/>
              <w:jc w:val="center"/>
              <w:rPr/>
            </w:pPr>
            <w:hyperlink w:anchor="tANXAS115">
              <w:r>
                <w:rPr>
                  <w:rStyle w:val="InternetLink"/>
                  <w:rFonts w:ascii="Times New Roman;Times;serif" w:hAnsi="Times New Roman;Times;serif"/>
                  <w:color w:val="000000"/>
                  <w:sz w:val="20"/>
                </w:rPr>
                <w:t>11.5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5">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5">
              <w:r>
                <w:rPr>
                  <w:rStyle w:val="InternetLink"/>
                  <w:rFonts w:ascii="Times New Roman;Times;serif" w:hAnsi="Times New Roman;Times;serif"/>
                  <w:color w:val="000000"/>
                  <w:sz w:val="20"/>
                </w:rPr>
                <w:t>A-52</w:t>
              </w:r>
            </w:hyperlink>
          </w:p>
        </w:tc>
      </w:tr>
      <w:tr>
        <w:trPr/>
        <w:tc>
          <w:tcPr>
            <w:tcW w:w="395" w:type="dxa"/>
            <w:tcBorders/>
            <w:vAlign w:val="center"/>
          </w:tcPr>
          <w:p>
            <w:pPr>
              <w:pStyle w:val="TableContents"/>
              <w:bidi w:val="0"/>
              <w:spacing w:before="0" w:after="283"/>
              <w:jc w:val="center"/>
              <w:rPr/>
            </w:pPr>
            <w:hyperlink w:anchor="tANXAS116">
              <w:r>
                <w:rPr>
                  <w:rStyle w:val="InternetLink"/>
                  <w:rFonts w:ascii="Times New Roman;Times;serif" w:hAnsi="Times New Roman;Times;serif"/>
                  <w:color w:val="000000"/>
                  <w:sz w:val="20"/>
                </w:rPr>
                <w:t>11.6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6">
              <w:r>
                <w:rPr>
                  <w:rStyle w:val="InternetLink"/>
                  <w:rFonts w:ascii="Times New Roman;Times;serif" w:hAnsi="Times New Roman;Times;serif"/>
                  <w:color w:val="000000"/>
                  <w:sz w:val="20"/>
                </w:rPr>
                <w:t>Governing Law; Jurisdiction; Waiver of Jury Trial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6">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283"/>
              <w:jc w:val="center"/>
              <w:rPr/>
            </w:pPr>
            <w:hyperlink w:anchor="tANXAS117">
              <w:r>
                <w:rPr>
                  <w:rStyle w:val="InternetLink"/>
                  <w:rFonts w:ascii="Times New Roman;Times;serif" w:hAnsi="Times New Roman;Times;serif"/>
                  <w:color w:val="000000"/>
                  <w:sz w:val="20"/>
                </w:rPr>
                <w:t>11.7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7">
              <w:r>
                <w:rPr>
                  <w:rStyle w:val="InternetLink"/>
                  <w:rFonts w:ascii="Times New Roman;Times;serif" w:hAnsi="Times New Roman;Times;serif"/>
                  <w:color w:val="000000"/>
                  <w:sz w:val="20"/>
                </w:rPr>
                <w:t>Assignment; Third 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7">
              <w:r>
                <w:rPr>
                  <w:rStyle w:val="InternetLink"/>
                  <w:rFonts w:ascii="Times New Roman;Times;serif" w:hAnsi="Times New Roman;Times;serif"/>
                  <w:color w:val="000000"/>
                  <w:sz w:val="20"/>
                </w:rPr>
                <w:t>A-52</w:t>
              </w:r>
            </w:hyperlink>
          </w:p>
        </w:tc>
      </w:tr>
      <w:tr>
        <w:trPr/>
        <w:tc>
          <w:tcPr>
            <w:tcW w:w="395" w:type="dxa"/>
            <w:tcBorders/>
            <w:vAlign w:val="center"/>
          </w:tcPr>
          <w:p>
            <w:pPr>
              <w:pStyle w:val="TableContents"/>
              <w:bidi w:val="0"/>
              <w:spacing w:before="0" w:after="283"/>
              <w:jc w:val="center"/>
              <w:rPr/>
            </w:pPr>
            <w:hyperlink w:anchor="tANXAS118">
              <w:r>
                <w:rPr>
                  <w:rStyle w:val="InternetLink"/>
                  <w:rFonts w:ascii="Times New Roman;Times;serif" w:hAnsi="Times New Roman;Times;serif"/>
                  <w:color w:val="000000"/>
                  <w:sz w:val="20"/>
                </w:rPr>
                <w:t>11.8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0" w:right="0" w:hanging="0"/>
              <w:jc w:val="left"/>
              <w:rPr/>
            </w:pPr>
            <w:hyperlink w:anchor="tANXAS118">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4" w:right="0" w:hanging="0"/>
              <w:jc w:val="left"/>
              <w:rPr/>
            </w:pPr>
            <w:hyperlink w:anchor="tANXAS118">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283"/>
              <w:jc w:val="center"/>
              <w:rPr/>
            </w:pPr>
            <w:hyperlink w:anchor="tANXAS119">
              <w:r>
                <w:rPr>
                  <w:rStyle w:val="InternetLink"/>
                  <w:rFonts w:ascii="Times New Roman;Times;serif" w:hAnsi="Times New Roman;Times;serif"/>
                  <w:color w:val="000000"/>
                  <w:sz w:val="20"/>
                </w:rPr>
                <w:t>11.9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283"/>
              <w:ind w:left="0" w:right="0" w:hanging="0"/>
              <w:jc w:val="left"/>
              <w:rPr/>
            </w:pPr>
            <w:hyperlink w:anchor="tANXAS119">
              <w:r>
                <w:rPr>
                  <w:rStyle w:val="InternetLink"/>
                  <w:rFonts w:ascii="Times New Roman;Times;serif" w:hAnsi="Times New Roman;Times;serif"/>
                  <w:color w:val="000000"/>
                  <w:sz w:val="20"/>
                </w:rPr>
                <w:t>Disclosure Schedule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4" w:right="0" w:hanging="0"/>
              <w:jc w:val="left"/>
              <w:rPr/>
            </w:pPr>
            <w:hyperlink w:anchor="tANXAS119">
              <w:r>
                <w:rPr>
                  <w:rStyle w:val="InternetLink"/>
                  <w:rFonts w:ascii="Times New Roman;Times;serif" w:hAnsi="Times New Roman;Times;serif"/>
                  <w:color w:val="000000"/>
                  <w:sz w:val="20"/>
                </w:rPr>
                <w:t>A-52</w:t>
              </w:r>
            </w:hyperlink>
          </w:p>
        </w:tc>
      </w:tr>
      <w:tr>
        <w:trPr/>
        <w:tc>
          <w:tcPr>
            <w:tcW w:w="3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7966x1_n14_300-annexa_pg5"/>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1" w:name="tANXA"/>
      <w:bookmarkEnd w:id="281"/>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AGREEMENT AND PLAN OF MERGER, dated as of June 17, 2026 (this “</w:t>
      </w:r>
      <w:r>
        <w:rPr>
          <w:rFonts w:ascii="Times New Roman;Times;serif" w:hAnsi="Times New Roman;Times;serif"/>
          <w:color w:val="000000"/>
          <w:sz w:val="20"/>
          <w:u w:val="single"/>
        </w:rPr>
        <w:t>Agreement</w:t>
      </w:r>
      <w:r>
        <w:rPr>
          <w:rFonts w:ascii="Times New Roman;Times;serif" w:hAnsi="Times New Roman;Times;serif"/>
          <w:color w:val="000000"/>
          <w:sz w:val="20"/>
        </w:rPr>
        <w:t>”), by and among Chicago Atlantic BDC, Inc., a Maryland corporation (the “</w:t>
      </w:r>
      <w:r>
        <w:rPr>
          <w:rFonts w:ascii="Times New Roman;Times;serif" w:hAnsi="Times New Roman;Times;serif"/>
          <w:color w:val="000000"/>
          <w:sz w:val="20"/>
          <w:u w:val="single"/>
        </w:rPr>
        <w:t>Acquiror</w:t>
      </w:r>
      <w:r>
        <w:rPr>
          <w:rFonts w:ascii="Times New Roman;Times;serif" w:hAnsi="Times New Roman;Times;serif"/>
          <w:color w:val="000000"/>
          <w:sz w:val="20"/>
        </w:rPr>
        <w:t>”); Chicago Atlantic Real Estate Finance, Inc., a Maryland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solely for purposes of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Chicago Atlantic BDC Advisers, LLC, a Delaware limited liability company and the investment adviser to the Acquiror (the “</w:t>
      </w:r>
      <w:r>
        <w:rPr>
          <w:rFonts w:ascii="Times New Roman;Times;serif" w:hAnsi="Times New Roman;Times;serif"/>
          <w:color w:val="000000"/>
          <w:sz w:val="20"/>
          <w:u w:val="single"/>
        </w:rPr>
        <w:t>Acquiror Adviser</w:t>
      </w:r>
      <w:r>
        <w:rPr>
          <w:rFonts w:ascii="Times New Roman;Times;serif" w:hAnsi="Times New Roman;Times;serif"/>
          <w:color w:val="000000"/>
          <w:sz w:val="20"/>
        </w:rPr>
        <w:t xml:space="preserve">”); and solely for purposes of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Chicago Atlantic REIT Manager, LLC, a Delaware limited liability company, in its capacity as external manager to the Company (the “</w:t>
      </w:r>
      <w:r>
        <w:rPr>
          <w:rFonts w:ascii="Times New Roman;Times;serif" w:hAnsi="Times New Roman;Times;serif"/>
          <w:color w:val="000000"/>
          <w:sz w:val="20"/>
          <w:u w:val="single"/>
        </w:rPr>
        <w:t>Company Manager</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A. The Acquiror has previously elected to be regulated as a business development company (“</w:t>
      </w:r>
      <w:r>
        <w:rPr>
          <w:rFonts w:ascii="Times New Roman;Times;serif" w:hAnsi="Times New Roman;Times;serif"/>
          <w:color w:val="000000"/>
          <w:sz w:val="20"/>
          <w:u w:val="single"/>
        </w:rPr>
        <w:t>BDC</w:t>
      </w:r>
      <w:r>
        <w:rPr>
          <w:rFonts w:ascii="Times New Roman;Times;serif" w:hAnsi="Times New Roman;Times;serif"/>
          <w:color w:val="000000"/>
          <w:sz w:val="20"/>
        </w:rPr>
        <w:t>”), as defined in Section 2(a)(48) of the Investment Company Act of 1940, as amended, and the rules promulgated thereunder (the “</w:t>
      </w:r>
      <w:r>
        <w:rPr>
          <w:rFonts w:ascii="Times New Roman;Times;serif" w:hAnsi="Times New Roman;Times;serif"/>
          <w:color w:val="000000"/>
          <w:sz w:val="20"/>
          <w:u w:val="single"/>
        </w:rPr>
        <w:t>Investment Company Act</w:t>
      </w:r>
      <w:r>
        <w:rPr>
          <w:rFonts w:ascii="Times New Roman;Times;serif" w:hAnsi="Times New Roman;Times;serif"/>
          <w:color w:val="000000"/>
          <w:sz w:val="20"/>
        </w:rPr>
        <w:t>”), and has previously elected to be taxed as a regulated investment company within the meaning, and under the provisions, of Sections 851 through 855 of the Code (“</w:t>
      </w:r>
      <w:r>
        <w:rPr>
          <w:rFonts w:ascii="Times New Roman;Times;serif" w:hAnsi="Times New Roman;Times;serif"/>
          <w:color w:val="000000"/>
          <w:sz w:val="20"/>
          <w:u w:val="single"/>
        </w:rPr>
        <w:t>RIC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B. The Company has previously elected to be taxed as a real estate investment trust within the meaning, and under the provisions, of Sections 856 through 860 of the Code (“</w:t>
      </w:r>
      <w:r>
        <w:rPr>
          <w:rFonts w:ascii="Times New Roman;Times;serif" w:hAnsi="Times New Roman;Times;serif"/>
          <w:color w:val="000000"/>
          <w:sz w:val="20"/>
          <w:u w:val="single"/>
        </w:rPr>
        <w:t>REIT</w:t>
      </w:r>
      <w:r>
        <w:rPr>
          <w:rFonts w:ascii="Times New Roman;Times;serif" w:hAnsi="Times New Roman;Times;serif"/>
          <w:color w:val="000000"/>
          <w:sz w:val="20"/>
        </w:rPr>
        <w:t>”) and, subject to the terms and conditions of this Agreement, the Company will elect to be regulated as a BDC under the Investment Company Act by filing a Form N-54A with the SEC (the “</w:t>
      </w:r>
      <w:r>
        <w:rPr>
          <w:rFonts w:ascii="Times New Roman;Times;serif" w:hAnsi="Times New Roman;Times;serif"/>
          <w:color w:val="000000"/>
          <w:sz w:val="20"/>
          <w:u w:val="single"/>
        </w:rPr>
        <w:t>BDC Election</w:t>
      </w:r>
      <w:r>
        <w:rPr>
          <w:rFonts w:ascii="Times New Roman;Times;serif" w:hAnsi="Times New Roman;Times;serif"/>
          <w:color w:val="000000"/>
          <w:sz w:val="20"/>
        </w:rPr>
        <w:t>”) and will adopt, subject to the approval of the Company’s stockholders, a new Investment Company Act compliant investment advisory agreement by and between the Company and the Acquiror Adviser (the “</w:t>
      </w:r>
      <w:r>
        <w:rPr>
          <w:rFonts w:ascii="Times New Roman;Times;serif" w:hAnsi="Times New Roman;Times;serif"/>
          <w:color w:val="000000"/>
          <w:sz w:val="20"/>
          <w:u w:val="single"/>
        </w:rPr>
        <w:t>New BDC Advisory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C. Upon the terms and subject to the conditions set forth in this Agreement, following the BDC Election, Acquiror and the Company intend to merge the Company with and into the Acquiror (the “</w:t>
      </w:r>
      <w:r>
        <w:rPr>
          <w:rFonts w:ascii="Times New Roman;Times;serif" w:hAnsi="Times New Roman;Times;serif"/>
          <w:color w:val="000000"/>
          <w:sz w:val="20"/>
          <w:u w:val="single"/>
        </w:rPr>
        <w:t>Merger</w:t>
      </w:r>
      <w:r>
        <w:rPr>
          <w:rFonts w:ascii="Times New Roman;Times;serif" w:hAnsi="Times New Roman;Times;serif"/>
          <w:color w:val="000000"/>
          <w:sz w:val="20"/>
        </w:rPr>
        <w:t>”), with the Acquiror as the surviving company in the Merger (sometimes referred to in such capacity as the “</w:t>
      </w:r>
      <w:r>
        <w:rPr>
          <w:rFonts w:ascii="Times New Roman;Times;serif" w:hAnsi="Times New Roman;Times;serif"/>
          <w:color w:val="000000"/>
          <w:sz w:val="20"/>
          <w:u w:val="single"/>
        </w:rPr>
        <w:t>Surviving Company</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D. The Board of Directors of Acquiror (the “</w:t>
      </w:r>
      <w:r>
        <w:rPr>
          <w:rFonts w:ascii="Times New Roman;Times;serif" w:hAnsi="Times New Roman;Times;serif"/>
          <w:color w:val="000000"/>
          <w:sz w:val="20"/>
          <w:u w:val="single"/>
        </w:rPr>
        <w:t>Acquiror Board</w:t>
      </w:r>
      <w:r>
        <w:rPr>
          <w:rFonts w:ascii="Times New Roman;Times;serif" w:hAnsi="Times New Roman;Times;serif"/>
          <w:color w:val="000000"/>
          <w:sz w:val="20"/>
        </w:rPr>
        <w:t>”), upon the recommendation of a committee of the Acquiror Board comprised solely of the Independent Directors of Acquiror (the “</w:t>
      </w:r>
      <w:r>
        <w:rPr>
          <w:rFonts w:ascii="Times New Roman;Times;serif" w:hAnsi="Times New Roman;Times;serif"/>
          <w:color w:val="000000"/>
          <w:sz w:val="20"/>
          <w:u w:val="single"/>
        </w:rPr>
        <w:t>Acquiror Special Committee</w:t>
      </w:r>
      <w:r>
        <w:rPr>
          <w:rFonts w:ascii="Times New Roman;Times;serif" w:hAnsi="Times New Roman;Times;serif"/>
          <w:color w:val="000000"/>
          <w:sz w:val="20"/>
        </w:rPr>
        <w:t>”), has unanimously (i) determined that (x) this Agreement and the terms of the Merger and the other Transactions, including the issuance of Acquiror Common Stock in connection with the Merger (the “</w:t>
      </w:r>
      <w:r>
        <w:rPr>
          <w:rFonts w:ascii="Times New Roman;Times;serif" w:hAnsi="Times New Roman;Times;serif"/>
          <w:color w:val="000000"/>
          <w:sz w:val="20"/>
          <w:u w:val="single"/>
        </w:rPr>
        <w:t>Acquiror Stock Issuance</w:t>
      </w:r>
      <w:r>
        <w:rPr>
          <w:rFonts w:ascii="Times New Roman;Times;serif" w:hAnsi="Times New Roman;Times;serif"/>
          <w:color w:val="000000"/>
          <w:sz w:val="20"/>
        </w:rPr>
        <w:t xml:space="preserve">”),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E. The Board of Directors of the Company (the “</w:t>
      </w:r>
      <w:r>
        <w:rPr>
          <w:rFonts w:ascii="Times New Roman;Times;serif" w:hAnsi="Times New Roman;Times;serif"/>
          <w:color w:val="000000"/>
          <w:sz w:val="20"/>
          <w:u w:val="single"/>
        </w:rPr>
        <w:t>Company Board</w:t>
      </w:r>
      <w:r>
        <w:rPr>
          <w:rFonts w:ascii="Times New Roman;Times;serif" w:hAnsi="Times New Roman;Times;serif"/>
          <w:color w:val="000000"/>
          <w:sz w:val="20"/>
        </w:rPr>
        <w:t>”), on the recommendation of a committee of the Company Board comprised solely of the Independent Directors of the Company (the “</w:t>
      </w:r>
      <w:r>
        <w:rPr>
          <w:rFonts w:ascii="Times New Roman;Times;serif" w:hAnsi="Times New Roman;Times;serif"/>
          <w:color w:val="000000"/>
          <w:sz w:val="20"/>
          <w:u w:val="single"/>
        </w:rPr>
        <w:t>Company Special Committee</w:t>
      </w:r>
      <w:r>
        <w:rPr>
          <w:rFonts w:ascii="Times New Roman;Times;serif" w:hAnsi="Times New Roman;Times;serif"/>
          <w:color w:val="000000"/>
          <w:sz w:val="20"/>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Times;serif" w:hAnsi="Times New Roman;Times;serif"/>
          <w:color w:val="000000"/>
          <w:sz w:val="20"/>
          <w:u w:val="single"/>
        </w:rPr>
        <w:t>Company BDC Election Matters</w:t>
      </w:r>
      <w:r>
        <w:rPr>
          <w:rFonts w:ascii="Times New Roman;Times;serif" w:hAnsi="Times New Roman;Times;serif"/>
          <w:color w:val="000000"/>
          <w:sz w:val="20"/>
        </w:rPr>
        <w:t>”) be submitted to the Company’s stockholders at a duly noticed and convened meeting of the Company’s stockholders (the “</w:t>
      </w:r>
      <w:r>
        <w:rPr>
          <w:rFonts w:ascii="Times New Roman;Times;serif" w:hAnsi="Times New Roman;Times;serif"/>
          <w:color w:val="000000"/>
          <w:sz w:val="20"/>
          <w:u w:val="single"/>
        </w:rPr>
        <w:t>Company Stockholders Meeting</w:t>
      </w:r>
      <w:r>
        <w:rPr>
          <w:rFonts w:ascii="Times New Roman;Times;serif" w:hAnsi="Times New Roman;Times;serif"/>
          <w:color w:val="000000"/>
          <w:sz w:val="20"/>
        </w:rPr>
        <w:t>”); (iv) directed that this Agreement and the matters associated with the Merger (the “</w:t>
      </w:r>
      <w:r>
        <w:rPr>
          <w:rFonts w:ascii="Times New Roman;Times;serif" w:hAnsi="Times New Roman;Times;serif"/>
          <w:color w:val="000000"/>
          <w:sz w:val="20"/>
          <w:u w:val="single"/>
        </w:rPr>
        <w:t>Company Merger Matters</w:t>
      </w:r>
      <w:r>
        <w:rPr>
          <w:rFonts w:ascii="Times New Roman;Times;serif" w:hAnsi="Times New Roman;Times;serif"/>
          <w:color w:val="000000"/>
          <w:sz w:val="20"/>
        </w:rPr>
        <w:t xml:space="preserve">”) be submitted to the Company’s stockholders at the Company Stockholders Meeting; and (v) resolved to recommend that the stockholders of the Company adopt the Company BDC Election Matters and the Company Merger Matters at the Company Stockholders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F. The parties intend the Merger to be treated as a “reorganization” within the meaning of Section 368(a) of the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and the Treasury Regulations promulgated thereunder, and intend for this Agreement to constitute a “plan of reorganization” within the meaning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G. Following the Merger Effective Time, the Surviving Company intends to continue to qualify as a regulated investment company under Sections 851 and 852 of the Code (“</w:t>
      </w:r>
      <w:r>
        <w:rPr>
          <w:rFonts w:ascii="Times New Roman;Times;serif" w:hAnsi="Times New Roman;Times;serif"/>
          <w:color w:val="000000"/>
          <w:sz w:val="20"/>
          <w:u w:val="single"/>
        </w:rPr>
        <w:t>RIC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parties desire to make certain representations, warranties, covenants and other agreements in connection with the Transactions and also to prescribe certain conditions to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7966x1_n14_300-annexa_pg6"/>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Times;serif" w:hAnsi="Times New Roman;Times;serif"/>
          <w:color w:val="000000"/>
          <w:sz w:val="20"/>
          <w:u w:val="single"/>
        </w:rPr>
        <w:t>Support Agreement</w:t>
      </w:r>
      <w:r>
        <w:rPr>
          <w:rFonts w:ascii="Times New Roman;Times;serif" w:hAnsi="Times New Roman;Times;serif"/>
          <w:color w:val="000000"/>
          <w:sz w:val="20"/>
        </w:rPr>
        <w:t xml:space="preserve">”), pursuant to which, among other things, it/he is agreeing to vote its/his shares of Acquiror Common Stock and Company Common Stock in favor of the Acquiror Matters and Company BDC Election Matters and the Company Merger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representations, warranties, covenants and other agreements contained in this Agreement, the parties agree as follows: </w:t>
      </w:r>
    </w:p>
    <w:p>
      <w:pPr>
        <w:pStyle w:val="TextBody"/>
        <w:bidi w:val="0"/>
        <w:spacing w:before="300" w:after="283"/>
        <w:jc w:val="center"/>
        <w:rPr>
          <w:rFonts w:ascii="Times New Roman;Times;serif" w:hAnsi="Times New Roman;Times;serif"/>
          <w:b/>
          <w:color w:val="000000"/>
          <w:sz w:val="20"/>
        </w:rPr>
      </w:pPr>
      <w:bookmarkStart w:id="283" w:name="tANXAA1"/>
      <w:bookmarkEnd w:id="283"/>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BDC ELECTION AND THE MERGER </w:t>
      </w:r>
    </w:p>
    <w:p>
      <w:pPr>
        <w:pStyle w:val="TextBody"/>
        <w:bidi w:val="0"/>
        <w:spacing w:before="120" w:after="283"/>
        <w:ind w:left="0" w:right="0" w:firstLine="400"/>
        <w:jc w:val="both"/>
        <w:rPr>
          <w:rFonts w:ascii="Times New Roman;Times;serif" w:hAnsi="Times New Roman;Times;serif"/>
          <w:color w:val="000000"/>
          <w:sz w:val="20"/>
        </w:rPr>
      </w:pPr>
      <w:bookmarkStart w:id="284" w:name="tANXAS11"/>
      <w:bookmarkEnd w:id="284"/>
      <w:r>
        <w:rPr>
          <w:rFonts w:ascii="Times New Roman;Times;serif" w:hAnsi="Times New Roman;Times;serif"/>
          <w:color w:val="000000"/>
          <w:sz w:val="20"/>
        </w:rPr>
        <w:t>1.1 </w:t>
      </w:r>
      <w:r>
        <w:rPr>
          <w:rFonts w:ascii="Times New Roman;Times;serif" w:hAnsi="Times New Roman;Times;serif"/>
          <w:color w:val="000000"/>
          <w:sz w:val="20"/>
          <w:u w:val="single"/>
        </w:rPr>
        <w:t>The BDC Election</w:t>
      </w:r>
      <w:r>
        <w:rPr>
          <w:rFonts w:ascii="Times New Roman;Times;serif" w:hAnsi="Times New Roman;Times;serif"/>
          <w:color w:val="000000"/>
          <w:sz w:val="20"/>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Times;serif" w:hAnsi="Times New Roman;Times;serif"/>
          <w:color w:val="000000"/>
          <w:sz w:val="20"/>
          <w:u w:val="single"/>
        </w:rPr>
        <w:t>BDC Election Time</w:t>
      </w:r>
      <w:r>
        <w:rPr>
          <w:rFonts w:ascii="Times New Roman;Times;serif" w:hAnsi="Times New Roman;Times;serif"/>
          <w:color w:val="000000"/>
          <w:sz w:val="20"/>
        </w:rPr>
        <w:t xml:space="preserve">” shall be the date and time when the BDC Election has been accepted for filing by the SEC. </w:t>
      </w:r>
    </w:p>
    <w:p>
      <w:pPr>
        <w:pStyle w:val="TextBody"/>
        <w:bidi w:val="0"/>
        <w:spacing w:before="120" w:after="283"/>
        <w:ind w:left="0" w:right="0" w:firstLine="400"/>
        <w:jc w:val="both"/>
        <w:rPr>
          <w:rFonts w:ascii="Times New Roman;Times;serif" w:hAnsi="Times New Roman;Times;serif"/>
          <w:color w:val="000000"/>
          <w:sz w:val="20"/>
        </w:rPr>
      </w:pPr>
      <w:bookmarkStart w:id="285" w:name="tANXAS12"/>
      <w:bookmarkEnd w:id="285"/>
      <w:r>
        <w:rPr>
          <w:rFonts w:ascii="Times New Roman;Times;serif" w:hAnsi="Times New Roman;Times;serif"/>
          <w:color w:val="000000"/>
          <w:sz w:val="20"/>
        </w:rPr>
        <w:t>1.2 </w:t>
      </w:r>
      <w:r>
        <w:rPr>
          <w:rFonts w:ascii="Times New Roman;Times;serif" w:hAnsi="Times New Roman;Times;serif"/>
          <w:color w:val="000000"/>
          <w:sz w:val="20"/>
          <w:u w:val="single"/>
        </w:rPr>
        <w:t>The Merger</w:t>
      </w:r>
      <w:r>
        <w:rPr>
          <w:rFonts w:ascii="Times New Roman;Times;serif" w:hAnsi="Times New Roman;Times;serif"/>
          <w:color w:val="000000"/>
          <w:sz w:val="20"/>
        </w:rPr>
        <w:t>. Subject to the terms and conditions of this Agreement, in accordance with the Maryland General Corporation Law (the “</w:t>
      </w:r>
      <w:r>
        <w:rPr>
          <w:rFonts w:ascii="Times New Roman;Times;serif" w:hAnsi="Times New Roman;Times;serif"/>
          <w:color w:val="000000"/>
          <w:sz w:val="20"/>
          <w:u w:val="single"/>
        </w:rPr>
        <w:t>MGCL</w:t>
      </w:r>
      <w:r>
        <w:rPr>
          <w:rFonts w:ascii="Times New Roman;Times;serif" w:hAnsi="Times New Roman;Times;serif"/>
          <w:color w:val="000000"/>
          <w:sz w:val="20"/>
        </w:rPr>
        <w:t xml:space="preserve">”),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 </w:t>
      </w:r>
    </w:p>
    <w:p>
      <w:pPr>
        <w:pStyle w:val="TextBody"/>
        <w:bidi w:val="0"/>
        <w:spacing w:before="120" w:after="283"/>
        <w:ind w:left="0" w:right="0" w:firstLine="400"/>
        <w:jc w:val="both"/>
        <w:rPr>
          <w:rFonts w:ascii="Times New Roman;Times;serif" w:hAnsi="Times New Roman;Times;serif"/>
          <w:color w:val="000000"/>
          <w:sz w:val="20"/>
        </w:rPr>
      </w:pPr>
      <w:bookmarkStart w:id="286" w:name="tANXAS13"/>
      <w:bookmarkEnd w:id="286"/>
      <w:r>
        <w:rPr>
          <w:rFonts w:ascii="Times New Roman;Times;serif" w:hAnsi="Times New Roman;Times;serif"/>
          <w:color w:val="000000"/>
          <w:sz w:val="20"/>
        </w:rPr>
        <w:t>1.3 </w:t>
      </w:r>
      <w:r>
        <w:rPr>
          <w:rFonts w:ascii="Times New Roman;Times;serif" w:hAnsi="Times New Roman;Times;serif"/>
          <w:color w:val="000000"/>
          <w:sz w:val="20"/>
          <w:u w:val="single"/>
        </w:rPr>
        <w:t>Closing</w:t>
      </w:r>
      <w:r>
        <w:rPr>
          <w:rFonts w:ascii="Times New Roman;Times;serif" w:hAnsi="Times New Roman;Times;serif"/>
          <w:color w:val="000000"/>
          <w:sz w:val="20"/>
        </w:rPr>
        <w:t>. On the terms and subject to the conditions set forth in this Agreement, the closing of the Merger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87" w:name="tANXAS14"/>
      <w:bookmarkEnd w:id="287"/>
      <w:r>
        <w:rPr>
          <w:rFonts w:ascii="Times New Roman;Times;serif" w:hAnsi="Times New Roman;Times;serif"/>
          <w:color w:val="000000"/>
          <w:sz w:val="20"/>
        </w:rPr>
        <w:t>1.4 </w:t>
      </w:r>
      <w:r>
        <w:rPr>
          <w:rFonts w:ascii="Times New Roman;Times;serif" w:hAnsi="Times New Roman;Times;serif"/>
          <w:color w:val="000000"/>
          <w:sz w:val="20"/>
          <w:u w:val="single"/>
        </w:rPr>
        <w:t>Merger Effective Time</w:t>
      </w:r>
      <w:r>
        <w:rPr>
          <w:rFonts w:ascii="Times New Roman;Times;serif" w:hAnsi="Times New Roman;Times;serif"/>
          <w:color w:val="000000"/>
          <w:sz w:val="20"/>
        </w:rPr>
        <w:t>. The Merger shall become effective as set forth in the articles of merger (the “</w:t>
      </w:r>
      <w:r>
        <w:rPr>
          <w:rFonts w:ascii="Times New Roman;Times;serif" w:hAnsi="Times New Roman;Times;serif"/>
          <w:color w:val="000000"/>
          <w:sz w:val="20"/>
          <w:u w:val="single"/>
        </w:rPr>
        <w:t>Articles of Merger</w:t>
      </w:r>
      <w:r>
        <w:rPr>
          <w:rFonts w:ascii="Times New Roman;Times;serif" w:hAnsi="Times New Roman;Times;serif"/>
          <w:color w:val="000000"/>
          <w:sz w:val="20"/>
        </w:rPr>
        <w:t>”) that the Acquiror shall file with the State Department of Assessments and Taxation for the State of Maryland (“</w:t>
      </w:r>
      <w:r>
        <w:rPr>
          <w:rFonts w:ascii="Times New Roman;Times;serif" w:hAnsi="Times New Roman;Times;serif"/>
          <w:color w:val="000000"/>
          <w:sz w:val="20"/>
          <w:u w:val="single"/>
        </w:rPr>
        <w:t>SDAT</w:t>
      </w:r>
      <w:r>
        <w:rPr>
          <w:rFonts w:ascii="Times New Roman;Times;serif" w:hAnsi="Times New Roman;Times;serif"/>
          <w:color w:val="000000"/>
          <w:sz w:val="20"/>
        </w:rPr>
        <w:t>”) on the Closing Date. The term “</w:t>
      </w:r>
      <w:r>
        <w:rPr>
          <w:rFonts w:ascii="Times New Roman;Times;serif" w:hAnsi="Times New Roman;Times;serif"/>
          <w:color w:val="000000"/>
          <w:sz w:val="20"/>
          <w:u w:val="single"/>
        </w:rPr>
        <w:t>Merger Effective Time</w:t>
      </w:r>
      <w:r>
        <w:rPr>
          <w:rFonts w:ascii="Times New Roman;Times;serif" w:hAnsi="Times New Roman;Times;serif"/>
          <w:color w:val="000000"/>
          <w:sz w:val="20"/>
        </w:rPr>
        <w:t xml:space="preserve">” shall be the date and time when the Merger becomes effective as set forth in the Articles of Merger. For the avoidance of doubt, in no event shall the Merger Effective Time be earlier than the BDC Election Time. </w:t>
      </w:r>
    </w:p>
    <w:p>
      <w:pPr>
        <w:pStyle w:val="TextBody"/>
        <w:bidi w:val="0"/>
        <w:spacing w:before="120" w:after="283"/>
        <w:ind w:left="0" w:right="0" w:firstLine="400"/>
        <w:jc w:val="both"/>
        <w:rPr>
          <w:rFonts w:ascii="Times New Roman;Times;serif" w:hAnsi="Times New Roman;Times;serif"/>
          <w:color w:val="000000"/>
          <w:sz w:val="20"/>
        </w:rPr>
      </w:pPr>
      <w:bookmarkStart w:id="288" w:name="tANXAS15"/>
      <w:bookmarkEnd w:id="288"/>
      <w:r>
        <w:rPr>
          <w:rFonts w:ascii="Times New Roman;Times;serif" w:hAnsi="Times New Roman;Times;serif"/>
          <w:color w:val="000000"/>
          <w:sz w:val="20"/>
        </w:rPr>
        <w:t>1.5 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At and after the Merger Effective Time, the Merger shall have the effects set forth in the MGCL. </w:t>
      </w:r>
    </w:p>
    <w:p>
      <w:pPr>
        <w:pStyle w:val="TextBody"/>
        <w:bidi w:val="0"/>
        <w:spacing w:before="120" w:after="283"/>
        <w:ind w:left="0" w:right="0" w:firstLine="400"/>
        <w:jc w:val="both"/>
        <w:rPr>
          <w:rFonts w:ascii="Times New Roman;Times;serif" w:hAnsi="Times New Roman;Times;serif"/>
          <w:color w:val="000000"/>
          <w:sz w:val="20"/>
        </w:rPr>
      </w:pPr>
      <w:bookmarkStart w:id="289" w:name="tANXAS16"/>
      <w:bookmarkEnd w:id="289"/>
      <w:r>
        <w:rPr>
          <w:rFonts w:ascii="Times New Roman;Times;serif" w:hAnsi="Times New Roman;Times;serif"/>
          <w:color w:val="000000"/>
          <w:sz w:val="20"/>
        </w:rPr>
        <w:t>1.6 </w:t>
      </w:r>
      <w:r>
        <w:rPr>
          <w:rFonts w:ascii="Times New Roman;Times;serif" w:hAnsi="Times New Roman;Times;serif"/>
          <w:color w:val="000000"/>
          <w:sz w:val="20"/>
          <w:u w:val="single"/>
        </w:rPr>
        <w:t>Conversion of Capital Stock</w:t>
      </w:r>
      <w:r>
        <w:rPr>
          <w:rFonts w:ascii="Times New Roman;Times;serif" w:hAnsi="Times New Roman;Times;serif"/>
          <w:color w:val="000000"/>
          <w:sz w:val="20"/>
        </w:rPr>
        <w:t xml:space="preserve">. At the Merger Effective Time, by virtue of the Merger and without any action on the part of Acquiror or the Company or the holder of any of the following securities: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(a) All shares of common stock, par value $0.01 per share, of the Company (the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Times;serif" w:hAnsi="Times New Roman;Times;serif"/>
          <w:color w:val="000000"/>
          <w:sz w:val="20"/>
          <w:u w:val="single"/>
        </w:rPr>
        <w:t>Acquiror Common Stock</w:t>
      </w:r>
      <w:r>
        <w:rPr>
          <w:rFonts w:ascii="Times New Roman;Times;serif" w:hAnsi="Times New Roman;Times;serif"/>
          <w:color w:val="000000"/>
          <w:sz w:val="20"/>
        </w:rPr>
        <w:t>”) or any other consideration shall be delivered in exchange therefor (such shares, the “</w:t>
      </w:r>
      <w:r>
        <w:rPr>
          <w:rFonts w:ascii="Times New Roman;Times;serif" w:hAnsi="Times New Roman;Times;serif"/>
          <w:color w:val="000000"/>
          <w:sz w:val="20"/>
          <w:u w:val="single"/>
        </w:rPr>
        <w:t>Cancelled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Times;serif" w:hAnsi="Times New Roman;Times;serif"/>
          <w:color w:val="000000"/>
          <w:sz w:val="20"/>
          <w:u w:val="single"/>
        </w:rPr>
        <w:t>Section 1.6(e)</w:t>
      </w:r>
      <w:r>
        <w:rPr>
          <w:rFonts w:ascii="Times New Roman;Times;serif" w:hAnsi="Times New Roman;Times;serif"/>
          <w:color w:val="000000"/>
          <w:sz w:val="20"/>
        </w:rPr>
        <w:t xml:space="preserve">, shall be converted, in accordance with the procedures set forth in </w:t>
      </w:r>
      <w:r>
        <w:rPr>
          <w:rFonts w:ascii="Times New Roman;Times;serif" w:hAnsi="Times New Roman;Times;serif"/>
          <w:color w:val="000000"/>
          <w:sz w:val="20"/>
          <w:u w:val="single"/>
        </w:rPr>
        <w:t>Article II</w:t>
      </w:r>
      <w:r>
        <w:rPr>
          <w:rFonts w:ascii="Times New Roman;Times;serif" w:hAnsi="Times New Roman;Times;serif"/>
          <w:color w:val="000000"/>
          <w:sz w:val="20"/>
        </w:rPr>
        <w:t>, into the right to receive a number of shares of Acquiror Common Stock equal to the Exchange Ratio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of the shares of Company Common Stock converted into the right to receive the Merger Consideration pursuant to this </w:t>
      </w:r>
      <w:r>
        <w:rPr>
          <w:rFonts w:ascii="Times New Roman;Times;serif" w:hAnsi="Times New Roman;Times;serif"/>
          <w:color w:val="000000"/>
          <w:sz w:val="20"/>
          <w:u w:val="single"/>
        </w:rPr>
        <w:t>‎Article I</w:t>
      </w:r>
      <w:r>
        <w:rPr>
          <w:rFonts w:ascii="Times New Roman;Times;serif" w:hAnsi="Times New Roman;Times;serif"/>
          <w:color w:val="000000"/>
          <w:sz w:val="20"/>
        </w:rPr>
        <w:t xml:space="preserve">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7966x1_n14_300-annexa_pg7"/>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cash in lieu of fractional shares into which such shares of Company Common Stock have been converted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any dividends or other distributions payable pursuant to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shall be construed to permit any party hereto to take any action that is otherwise prohibited or restricted by any other provision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share of Acquiror Common Stock outstanding immediately prior to the Merger Effective Time shall remain outstanding as a share of Acquiror Common Stock. </w:t>
      </w:r>
    </w:p>
    <w:p>
      <w:pPr>
        <w:pStyle w:val="TextBody"/>
        <w:bidi w:val="0"/>
        <w:spacing w:before="120" w:after="283"/>
        <w:ind w:left="0" w:right="0" w:firstLine="400"/>
        <w:jc w:val="both"/>
        <w:rPr>
          <w:rFonts w:ascii="Times New Roman;Times;serif" w:hAnsi="Times New Roman;Times;serif"/>
          <w:color w:val="000000"/>
          <w:sz w:val="20"/>
        </w:rPr>
      </w:pPr>
      <w:bookmarkStart w:id="291" w:name="tANXAS17"/>
      <w:bookmarkEnd w:id="291"/>
      <w:r>
        <w:rPr>
          <w:rFonts w:ascii="Times New Roman;Times;serif" w:hAnsi="Times New Roman;Times;serif"/>
          <w:color w:val="000000"/>
          <w:sz w:val="20"/>
        </w:rPr>
        <w:t>1.7 </w:t>
      </w:r>
      <w:r>
        <w:rPr>
          <w:rFonts w:ascii="Times New Roman;Times;serif" w:hAnsi="Times New Roman;Times;serif"/>
          <w:color w:val="000000"/>
          <w:sz w:val="20"/>
          <w:u w:val="single"/>
        </w:rPr>
        <w:t>Termination of Certain Contractual Obligations</w:t>
      </w:r>
      <w:r>
        <w:rPr>
          <w:rFonts w:ascii="Times New Roman;Times;serif" w:hAnsi="Times New Roman;Times;serif"/>
          <w:color w:val="000000"/>
          <w:sz w:val="20"/>
        </w:rPr>
        <w:t xml:space="preserve">.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 </w:t>
      </w:r>
    </w:p>
    <w:p>
      <w:pPr>
        <w:pStyle w:val="TextBody"/>
        <w:bidi w:val="0"/>
        <w:spacing w:before="120" w:after="283"/>
        <w:ind w:left="0" w:right="0" w:firstLine="400"/>
        <w:jc w:val="both"/>
        <w:rPr>
          <w:rFonts w:ascii="Times New Roman;Times;serif" w:hAnsi="Times New Roman;Times;serif"/>
          <w:color w:val="000000"/>
          <w:sz w:val="20"/>
        </w:rPr>
      </w:pPr>
      <w:bookmarkStart w:id="292" w:name="tANXAS18"/>
      <w:bookmarkEnd w:id="292"/>
      <w:r>
        <w:rPr>
          <w:rFonts w:ascii="Times New Roman;Times;serif" w:hAnsi="Times New Roman;Times;serif"/>
          <w:color w:val="000000"/>
          <w:sz w:val="20"/>
        </w:rPr>
        <w:t>1.8 </w:t>
      </w:r>
      <w:r>
        <w:rPr>
          <w:rFonts w:ascii="Times New Roman;Times;serif" w:hAnsi="Times New Roman;Times;serif"/>
          <w:color w:val="000000"/>
          <w:sz w:val="20"/>
          <w:u w:val="single"/>
        </w:rPr>
        <w:t>Articles of Incorporation and Bylaws</w:t>
      </w:r>
      <w:r>
        <w:rPr>
          <w:rFonts w:ascii="Times New Roman;Times;serif" w:hAnsi="Times New Roman;Times;serif"/>
          <w:color w:val="000000"/>
          <w:sz w:val="20"/>
        </w:rPr>
        <w:t xml:space="preserve">.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 </w:t>
      </w:r>
    </w:p>
    <w:p>
      <w:pPr>
        <w:pStyle w:val="TextBody"/>
        <w:bidi w:val="0"/>
        <w:spacing w:before="120" w:after="283"/>
        <w:ind w:left="0" w:right="0" w:firstLine="400"/>
        <w:jc w:val="both"/>
        <w:rPr>
          <w:rFonts w:ascii="Times New Roman;Times;serif" w:hAnsi="Times New Roman;Times;serif"/>
          <w:color w:val="000000"/>
          <w:sz w:val="20"/>
        </w:rPr>
      </w:pPr>
      <w:bookmarkStart w:id="293" w:name="tANXAS19"/>
      <w:bookmarkEnd w:id="293"/>
      <w:r>
        <w:rPr>
          <w:rFonts w:ascii="Times New Roman;Times;serif" w:hAnsi="Times New Roman;Times;serif"/>
          <w:color w:val="000000"/>
          <w:sz w:val="20"/>
        </w:rPr>
        <w:t>1.9 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Subject to applicable Law, the directors and officers of the Surviving Company as of the Merger Effective Time shall be the directors and officers set forth on </w:t>
      </w:r>
      <w:r>
        <w:rPr>
          <w:rFonts w:ascii="Times New Roman;Times;serif" w:hAnsi="Times New Roman;Times;serif"/>
          <w:color w:val="000000"/>
          <w:sz w:val="20"/>
          <w:u w:val="single"/>
        </w:rPr>
        <w:t>Schedule 1.9,</w:t>
      </w:r>
      <w:r>
        <w:rPr>
          <w:rFonts w:ascii="Times New Roman;Times;serif" w:hAnsi="Times New Roman;Times;serif"/>
          <w:color w:val="000000"/>
          <w:sz w:val="20"/>
        </w:rPr>
        <w:t xml:space="preserve"> each of which shall hold office until their respective successors are duly elected and qualify, or their earlier death, resignation or removal. </w:t>
      </w:r>
    </w:p>
    <w:p>
      <w:pPr>
        <w:pStyle w:val="TextBody"/>
        <w:bidi w:val="0"/>
        <w:spacing w:before="300" w:after="283"/>
        <w:jc w:val="center"/>
        <w:rPr>
          <w:rFonts w:ascii="Times New Roman;Times;serif" w:hAnsi="Times New Roman;Times;serif"/>
          <w:b/>
          <w:color w:val="000000"/>
          <w:sz w:val="20"/>
        </w:rPr>
      </w:pPr>
      <w:bookmarkStart w:id="294" w:name="tANXAA2"/>
      <w:bookmarkEnd w:id="294"/>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bookmarkStart w:id="295" w:name="tANXAS21"/>
      <w:bookmarkEnd w:id="295"/>
      <w:r>
        <w:rPr>
          <w:rFonts w:ascii="Times New Roman;Times;serif" w:hAnsi="Times New Roman;Times;serif"/>
          <w:color w:val="000000"/>
          <w:sz w:val="20"/>
        </w:rPr>
        <w:t>2.1 </w:t>
      </w:r>
      <w:r>
        <w:rPr>
          <w:rFonts w:ascii="Times New Roman;Times;serif" w:hAnsi="Times New Roman;Times;serif"/>
          <w:color w:val="000000"/>
          <w:sz w:val="20"/>
          <w:u w:val="single"/>
        </w:rPr>
        <w:t>Delivery of Evidence of Acquiror Common Stock</w:t>
      </w:r>
      <w:r>
        <w:rPr>
          <w:rFonts w:ascii="Times New Roman;Times;serif" w:hAnsi="Times New Roman;Times;serif"/>
          <w:color w:val="000000"/>
          <w:sz w:val="20"/>
        </w:rPr>
        <w:t xml:space="preserve">. As soon as reasonably practicable after the Merger Effective Time, Acquiror shall issue and deposit with its transfer agent evidence of book-entry shares representing Acquiror Common Stock issuable as Merger Consideration pursuant to </w:t>
      </w:r>
      <w:r>
        <w:rPr>
          <w:rFonts w:ascii="Times New Roman;Times;serif" w:hAnsi="Times New Roman;Times;serif"/>
          <w:color w:val="000000"/>
          <w:sz w:val="20"/>
          <w:u w:val="single"/>
        </w:rPr>
        <w:t>Section ‎1.6(b)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96" w:name="tANXAS22"/>
      <w:bookmarkEnd w:id="296"/>
      <w:r>
        <w:rPr>
          <w:rFonts w:ascii="Times New Roman;Times;serif" w:hAnsi="Times New Roman;Times;serif"/>
          <w:color w:val="000000"/>
          <w:sz w:val="20"/>
        </w:rPr>
        <w:t>2.2 </w:t>
      </w: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Each holder of Company Common Stock converted pursuant to the Merger that would otherwise have been entitled to receive a fraction of a share of Acquiror Common Stock pursuant to </w:t>
      </w:r>
      <w:r>
        <w:rPr>
          <w:rFonts w:ascii="Times New Roman;Times;serif" w:hAnsi="Times New Roman;Times;serif"/>
          <w:color w:val="000000"/>
          <w:sz w:val="20"/>
          <w:u w:val="single"/>
        </w:rPr>
        <w:t>Section ‎1.6(b)</w:t>
      </w:r>
      <w:r>
        <w:rPr>
          <w:rFonts w:ascii="Times New Roman;Times;serif" w:hAnsi="Times New Roman;Times;serif"/>
          <w:color w:val="000000"/>
          <w:sz w:val="20"/>
        </w:rPr>
        <w:t xml:space="preserve">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Times;serif" w:hAnsi="Times New Roman;Times;serif"/>
          <w:color w:val="000000"/>
          <w:sz w:val="20"/>
          <w:u w:val="single"/>
        </w:rPr>
        <w:t>NASDAQ</w:t>
      </w:r>
      <w:r>
        <w:rPr>
          <w:rFonts w:ascii="Times New Roman;Times;serif" w:hAnsi="Times New Roman;Times;serif"/>
          <w:color w:val="000000"/>
          <w:sz w:val="20"/>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all fractional shares to which a single record holder would be entitled shall be aggregated and calculations shall be rounded to three decimal places.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7966x1_n14_300-annexa_pg8"/>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98" w:name="tANXAS23"/>
      <w:bookmarkEnd w:id="298"/>
      <w:r>
        <w:rPr>
          <w:rFonts w:ascii="Times New Roman;Times;serif" w:hAnsi="Times New Roman;Times;serif"/>
          <w:color w:val="000000"/>
          <w:sz w:val="20"/>
        </w:rPr>
        <w:t>2.3 </w:t>
      </w:r>
      <w:r>
        <w:rPr>
          <w:rFonts w:ascii="Times New Roman;Times;serif" w:hAnsi="Times New Roman;Times;serif"/>
          <w:color w:val="000000"/>
          <w:sz w:val="20"/>
          <w:u w:val="single"/>
        </w:rPr>
        <w:t>Paying and Exchange Agent</w:t>
      </w:r>
      <w:r>
        <w:rPr>
          <w:rFonts w:ascii="Times New Roman;Times;serif" w:hAnsi="Times New Roman;Times;serif"/>
          <w:color w:val="000000"/>
          <w:sz w:val="20"/>
        </w:rPr>
        <w:t>. Prior to the Merger Effective Time, Acquiror shall appoint Acquiror’s transfer agent or other bank or trust company to act as exchange agent (the “</w:t>
      </w:r>
      <w:r>
        <w:rPr>
          <w:rFonts w:ascii="Times New Roman;Times;serif" w:hAnsi="Times New Roman;Times;serif"/>
          <w:color w:val="000000"/>
          <w:sz w:val="20"/>
          <w:u w:val="single"/>
        </w:rPr>
        <w:t>Paying and Exchange Agent</w:t>
      </w:r>
      <w:r>
        <w:rPr>
          <w:rFonts w:ascii="Times New Roman;Times;serif" w:hAnsi="Times New Roman;Times;serif"/>
          <w:color w:val="000000"/>
          <w:sz w:val="20"/>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Times;serif" w:hAnsi="Times New Roman;Times;serif"/>
          <w:color w:val="000000"/>
          <w:sz w:val="20"/>
          <w:u w:val="single"/>
        </w:rPr>
        <w:t>Section 2.2</w:t>
      </w:r>
      <w:r>
        <w:rPr>
          <w:rFonts w:ascii="Times New Roman;Times;serif" w:hAnsi="Times New Roman;Times;serif"/>
          <w:color w:val="000000"/>
          <w:sz w:val="20"/>
        </w:rPr>
        <w:t>. Any cash deposited with the Paying and Exchange Agent shall hereinafter be referred to as the “</w:t>
      </w:r>
      <w:r>
        <w:rPr>
          <w:rFonts w:ascii="Times New Roman;Times;serif" w:hAnsi="Times New Roman;Times;serif"/>
          <w:color w:val="000000"/>
          <w:sz w:val="20"/>
          <w:u w:val="single"/>
        </w:rPr>
        <w:t>Exchange Fund</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299" w:name="tANXAS24"/>
      <w:bookmarkEnd w:id="299"/>
      <w:r>
        <w:rPr>
          <w:rFonts w:ascii="Times New Roman;Times;serif" w:hAnsi="Times New Roman;Times;serif"/>
          <w:color w:val="000000"/>
          <w:sz w:val="20"/>
        </w:rPr>
        <w:t>2.4 </w:t>
      </w:r>
      <w:r>
        <w:rPr>
          <w:rFonts w:ascii="Times New Roman;Times;serif" w:hAnsi="Times New Roman;Times;serif"/>
          <w:color w:val="000000"/>
          <w:sz w:val="20"/>
          <w:u w:val="single"/>
        </w:rPr>
        <w:t>Delivery of Merger Consideration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holder of record of shares of Company Common Stock (other than the Cancelled Shares) that were converted into the right to receive the Merger Consideration pursuant to </w:t>
      </w:r>
      <w:r>
        <w:rPr>
          <w:rFonts w:ascii="Times New Roman;Times;serif" w:hAnsi="Times New Roman;Times;serif"/>
          <w:color w:val="000000"/>
          <w:sz w:val="20"/>
          <w:u w:val="single"/>
        </w:rPr>
        <w:t>Section ‎1.6(b)</w:t>
      </w:r>
      <w:r>
        <w:rPr>
          <w:rFonts w:ascii="Times New Roman;Times;serif" w:hAnsi="Times New Roman;Times;serif"/>
          <w:color w:val="000000"/>
          <w:sz w:val="20"/>
        </w:rPr>
        <w:t xml:space="preserve"> and any cash in lieu of fractional shares of Acquiror Common Stock to be issued or paid in consideration therefor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any dividends and other distributions pursuant to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after the applicable payment date, any dividends or other distributions to which such holder is entitled pursuant to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The Exchange Fund shall not be used for any other purpose other than the purposes provided for in the immediately preceding sentence.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 </w:t>
      </w:r>
    </w:p>
    <w:p>
      <w:pPr>
        <w:pStyle w:val="TextBody"/>
        <w:bidi w:val="0"/>
        <w:spacing w:before="120" w:after="283"/>
        <w:ind w:left="0" w:right="0" w:firstLine="400"/>
        <w:jc w:val="both"/>
        <w:rPr>
          <w:rFonts w:ascii="Times New Roman;Times;serif" w:hAnsi="Times New Roman;Times;serif"/>
          <w:color w:val="000000"/>
          <w:sz w:val="20"/>
        </w:rPr>
      </w:pPr>
      <w:bookmarkStart w:id="300" w:name="tANXAS25"/>
      <w:bookmarkEnd w:id="300"/>
      <w:r>
        <w:rPr>
          <w:rFonts w:ascii="Times New Roman;Times;serif" w:hAnsi="Times New Roman;Times;serif"/>
          <w:color w:val="000000"/>
          <w:sz w:val="20"/>
        </w:rPr>
        <w:t>2.5 </w:t>
      </w:r>
      <w:r>
        <w:rPr>
          <w:rFonts w:ascii="Times New Roman;Times;serif" w:hAnsi="Times New Roman;Times;serif"/>
          <w:color w:val="000000"/>
          <w:sz w:val="20"/>
          <w:u w:val="single"/>
        </w:rPr>
        <w:t>No Further Ownership Rights</w:t>
      </w:r>
      <w:r>
        <w:rPr>
          <w:rFonts w:ascii="Times New Roman;Times;serif" w:hAnsi="Times New Roman;Times;serif"/>
          <w:color w:val="000000"/>
          <w:sz w:val="20"/>
        </w:rPr>
        <w:t xml:space="preserve">. All Merger Consideration paid by Acquiror in accordance with the terms of </w:t>
      </w:r>
      <w:r>
        <w:rPr>
          <w:rFonts w:ascii="Times New Roman;Times;serif" w:hAnsi="Times New Roman;Times;serif"/>
          <w:color w:val="000000"/>
          <w:sz w:val="20"/>
          <w:u w:val="single"/>
        </w:rPr>
        <w:t>Article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 </w:t>
      </w:r>
    </w:p>
    <w:p>
      <w:pPr>
        <w:pStyle w:val="TextBody"/>
        <w:bidi w:val="0"/>
        <w:spacing w:before="170" w:after="283"/>
        <w:ind w:left="0" w:right="0" w:firstLine="400"/>
        <w:jc w:val="left"/>
        <w:rPr>
          <w:rFonts w:ascii="Times New Roman;Times;serif" w:hAnsi="Times New Roman;Times;serif"/>
          <w:color w:val="000000"/>
          <w:sz w:val="20"/>
        </w:rPr>
      </w:pPr>
      <w:bookmarkStart w:id="301" w:name="tANXAS26"/>
      <w:bookmarkEnd w:id="301"/>
      <w:r>
        <w:rPr>
          <w:rFonts w:ascii="Times New Roman;Times;serif" w:hAnsi="Times New Roman;Times;serif"/>
          <w:color w:val="000000"/>
          <w:sz w:val="20"/>
        </w:rPr>
        <w:t>2.6 </w:t>
      </w:r>
      <w:r>
        <w:rPr>
          <w:rFonts w:ascii="Times New Roman;Times;serif" w:hAnsi="Times New Roman;Times;serif"/>
          <w:color w:val="000000"/>
          <w:sz w:val="20"/>
          <w:u w:val="single"/>
        </w:rPr>
        <w:t>Net Asset Value Calculation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Times;serif" w:hAnsi="Times New Roman;Times;serif"/>
          <w:color w:val="000000"/>
          <w:sz w:val="20"/>
          <w:u w:val="single"/>
        </w:rPr>
        <w:t>Determination Date</w:t>
      </w:r>
      <w:r>
        <w:rPr>
          <w:rFonts w:ascii="Times New Roman;Times;serif" w:hAnsi="Times New Roman;Times;serif"/>
          <w:color w:val="000000"/>
          <w:sz w:val="20"/>
        </w:rPr>
        <w:t xml:space="preserve">”), calculated in good faith as of such date and based on the valuation principles, assumptions and methodologies, and applying the categories of adjustments to net asset value, as set forth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Closing Acquiror Net Asset Value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the Acquiror Board, including the Acquiror Special Committee, shall be required to approve, and the Acquiror Adviser shall certify in writing to the Company the calculation of the Closing Acquiror Net Asset Value.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Closing Company Net Asset Value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7966x1_n14_300-annexa_pg9"/>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ensure the Closing Company Net Asset Value is determined within 48 hours (excluding Sundays and holidays) prior to the Merger Effective Time;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the Company Board, including the Company Special Committee, shall be required to approve, and the Company Manager shall certify in writing to Acquiror, the calculation of the Closing Company Net Asset Value.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Adviser agrees to give each of the Company and Acquiror and its respective Representatives, upon reasonable request, reasonable access to the individuals who have prepared each calculation provided pursuant to this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 </w:t>
      </w:r>
    </w:p>
    <w:p>
      <w:pPr>
        <w:pStyle w:val="TextBody"/>
        <w:bidi w:val="0"/>
        <w:spacing w:before="120" w:after="283"/>
        <w:ind w:left="0" w:right="0" w:firstLine="400"/>
        <w:jc w:val="both"/>
        <w:rPr>
          <w:rFonts w:ascii="Times New Roman;Times;serif" w:hAnsi="Times New Roman;Times;serif"/>
          <w:color w:val="000000"/>
          <w:sz w:val="20"/>
        </w:rPr>
      </w:pPr>
      <w:bookmarkStart w:id="303" w:name="tANXAS27"/>
      <w:bookmarkEnd w:id="303"/>
      <w:r>
        <w:rPr>
          <w:rFonts w:ascii="Times New Roman;Times;serif" w:hAnsi="Times New Roman;Times;serif"/>
          <w:color w:val="000000"/>
          <w:sz w:val="20"/>
        </w:rPr>
        <w:t>2.7 </w:t>
      </w: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 </w:t>
      </w:r>
    </w:p>
    <w:p>
      <w:pPr>
        <w:pStyle w:val="TextBody"/>
        <w:bidi w:val="0"/>
        <w:spacing w:before="120" w:after="283"/>
        <w:ind w:left="0" w:right="0" w:firstLine="400"/>
        <w:jc w:val="both"/>
        <w:rPr>
          <w:rFonts w:ascii="Times New Roman;Times;serif" w:hAnsi="Times New Roman;Times;serif"/>
          <w:color w:val="000000"/>
          <w:sz w:val="20"/>
        </w:rPr>
      </w:pPr>
      <w:bookmarkStart w:id="304" w:name="tANXAS28"/>
      <w:bookmarkEnd w:id="304"/>
      <w:r>
        <w:rPr>
          <w:rFonts w:ascii="Times New Roman;Times;serif" w:hAnsi="Times New Roman;Times;serif"/>
          <w:color w:val="000000"/>
          <w:sz w:val="20"/>
        </w:rPr>
        <w:t>2.8 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 </w:t>
      </w:r>
    </w:p>
    <w:p>
      <w:pPr>
        <w:pStyle w:val="TextBody"/>
        <w:bidi w:val="0"/>
        <w:spacing w:before="120" w:after="283"/>
        <w:ind w:left="0" w:right="0" w:firstLine="400"/>
        <w:jc w:val="both"/>
        <w:rPr>
          <w:rFonts w:ascii="Times New Roman;Times;serif" w:hAnsi="Times New Roman;Times;serif"/>
          <w:color w:val="000000"/>
          <w:sz w:val="20"/>
        </w:rPr>
      </w:pPr>
      <w:bookmarkStart w:id="305" w:name="tANXAS29"/>
      <w:bookmarkEnd w:id="305"/>
      <w:r>
        <w:rPr>
          <w:rFonts w:ascii="Times New Roman;Times;serif" w:hAnsi="Times New Roman;Times;serif"/>
          <w:color w:val="000000"/>
          <w:sz w:val="20"/>
        </w:rPr>
        <w:t>2.9 </w:t>
      </w:r>
      <w:r>
        <w:rPr>
          <w:rFonts w:ascii="Times New Roman;Times;serif" w:hAnsi="Times New Roman;Times;serif"/>
          <w:color w:val="000000"/>
          <w:sz w:val="20"/>
          <w:u w:val="single"/>
        </w:rPr>
        <w:t>Tax Consequences</w:t>
      </w:r>
      <w:r>
        <w:rPr>
          <w:rFonts w:ascii="Times New Roman;Times;serif" w:hAnsi="Times New Roman;Times;serif"/>
          <w:color w:val="000000"/>
          <w:sz w:val="20"/>
        </w:rPr>
        <w:t xml:space="preserve">.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 </w:t>
      </w:r>
    </w:p>
    <w:p>
      <w:pPr>
        <w:pStyle w:val="TextBody"/>
        <w:bidi w:val="0"/>
        <w:spacing w:before="240" w:after="283"/>
        <w:jc w:val="center"/>
        <w:rPr>
          <w:rFonts w:ascii="Times New Roman;Times;serif" w:hAnsi="Times New Roman;Times;serif"/>
          <w:b/>
          <w:color w:val="000000"/>
          <w:sz w:val="20"/>
        </w:rPr>
      </w:pPr>
      <w:bookmarkStart w:id="306" w:name="tANXAA3"/>
      <w:bookmarkEnd w:id="306"/>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matters that have been Previously Disclosed and in reliance on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of this Agreement, the Company hereby represents and warrants to Acquiror that: </w:t>
      </w:r>
    </w:p>
    <w:p>
      <w:pPr>
        <w:pStyle w:val="TextBody"/>
        <w:bidi w:val="0"/>
        <w:spacing w:before="160" w:after="283"/>
        <w:ind w:left="0" w:right="0" w:firstLine="400"/>
        <w:jc w:val="left"/>
        <w:rPr>
          <w:rFonts w:ascii="Times New Roman;Times;serif" w:hAnsi="Times New Roman;Times;serif"/>
          <w:color w:val="000000"/>
          <w:sz w:val="20"/>
        </w:rPr>
      </w:pPr>
      <w:bookmarkStart w:id="307" w:name="tANXAS31"/>
      <w:bookmarkEnd w:id="307"/>
      <w:r>
        <w:rPr>
          <w:rFonts w:ascii="Times New Roman;Times;serif" w:hAnsi="Times New Roman;Times;serif"/>
          <w:color w:val="000000"/>
          <w:sz w:val="20"/>
        </w:rPr>
        <w:t>3.1 </w:t>
      </w:r>
      <w:r>
        <w:rPr>
          <w:rFonts w:ascii="Times New Roman;Times;serif" w:hAnsi="Times New Roman;Times;serif"/>
          <w:color w:val="000000"/>
          <w:sz w:val="20"/>
          <w:u w:val="single"/>
        </w:rPr>
        <w:t>Corporate Organization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(b) True, complete and correct copies of the Articles of Amendment and Restatement of the Company (the “</w:t>
      </w:r>
      <w:r>
        <w:rPr>
          <w:rFonts w:ascii="Times New Roman;Times;serif" w:hAnsi="Times New Roman;Times;serif"/>
          <w:color w:val="000000"/>
          <w:sz w:val="20"/>
          <w:u w:val="single"/>
        </w:rPr>
        <w:t>Company Charter</w:t>
      </w:r>
      <w:r>
        <w:rPr>
          <w:rFonts w:ascii="Times New Roman;Times;serif" w:hAnsi="Times New Roman;Times;serif"/>
          <w:color w:val="000000"/>
          <w:sz w:val="20"/>
        </w:rPr>
        <w:t>”) and the Amended and Restated Bylaws of the Company (the “</w:t>
      </w:r>
      <w:r>
        <w:rPr>
          <w:rFonts w:ascii="Times New Roman;Times;serif" w:hAnsi="Times New Roman;Times;serif"/>
          <w:color w:val="000000"/>
          <w:sz w:val="20"/>
          <w:u w:val="single"/>
        </w:rPr>
        <w:t>Company Bylaws</w:t>
      </w:r>
      <w:r>
        <w:rPr>
          <w:rFonts w:ascii="Times New Roman;Times;serif" w:hAnsi="Times New Roman;Times;serif"/>
          <w:color w:val="000000"/>
          <w:sz w:val="20"/>
        </w:rPr>
        <w:t xml:space="preserve">”), as in effect as of the date of this Agreement, have previously been publicly filed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7966x1_n14_300-annexa_pg10"/>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 </w:t>
      </w:r>
    </w:p>
    <w:p>
      <w:pPr>
        <w:pStyle w:val="TextBody"/>
        <w:bidi w:val="0"/>
        <w:spacing w:before="170" w:after="283"/>
        <w:ind w:left="0" w:right="0" w:firstLine="400"/>
        <w:jc w:val="left"/>
        <w:rPr>
          <w:rFonts w:ascii="Times New Roman;Times;serif" w:hAnsi="Times New Roman;Times;serif"/>
          <w:color w:val="000000"/>
          <w:sz w:val="20"/>
        </w:rPr>
      </w:pPr>
      <w:bookmarkStart w:id="309" w:name="tANXAS32"/>
      <w:bookmarkEnd w:id="309"/>
      <w:r>
        <w:rPr>
          <w:rFonts w:ascii="Times New Roman;Times;serif" w:hAnsi="Times New Roman;Times;serif"/>
          <w:color w:val="000000"/>
          <w:sz w:val="20"/>
        </w:rPr>
        <w:t>3.2 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of (i) 100,000,000 shares of Company Common Stock, of which 21,314,392 were outstanding as of the close of business on June 11, 2026 (the “</w:t>
      </w:r>
      <w:r>
        <w:rPr>
          <w:rFonts w:ascii="Times New Roman;Times;serif" w:hAnsi="Times New Roman;Times;serif"/>
          <w:color w:val="000000"/>
          <w:sz w:val="20"/>
          <w:u w:val="single"/>
        </w:rPr>
        <w:t>Company Capitalization Date</w:t>
      </w:r>
      <w:r>
        <w:rPr>
          <w:rFonts w:ascii="Times New Roman;Times;serif" w:hAnsi="Times New Roman;Times;serif"/>
          <w:color w:val="000000"/>
          <w:sz w:val="20"/>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Times;serif" w:hAnsi="Times New Roman;Times;serif"/>
          <w:color w:val="000000"/>
          <w:sz w:val="20"/>
          <w:u w:val="single"/>
        </w:rPr>
        <w:t>Voting Debt</w:t>
      </w:r>
      <w:r>
        <w:rPr>
          <w:rFonts w:ascii="Times New Roman;Times;serif" w:hAnsi="Times New Roman;Times;serif"/>
          <w:color w:val="000000"/>
          <w:sz w:val="20"/>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Times;serif" w:hAnsi="Times New Roman;Times;serif"/>
          <w:color w:val="000000"/>
          <w:sz w:val="20"/>
          <w:u w:val="single"/>
        </w:rPr>
        <w:t>Rights</w:t>
      </w:r>
      <w:r>
        <w:rPr>
          <w:rFonts w:ascii="Times New Roman;Times;serif" w:hAnsi="Times New Roman;Times;serif"/>
          <w:color w:val="000000"/>
          <w:sz w:val="20"/>
        </w:rPr>
        <w:t xml:space="preserve">”)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 </w:t>
      </w:r>
    </w:p>
    <w:p>
      <w:pPr>
        <w:pStyle w:val="TextBody"/>
        <w:bidi w:val="0"/>
        <w:spacing w:before="160" w:after="283"/>
        <w:ind w:left="0" w:right="0" w:firstLine="400"/>
        <w:jc w:val="left"/>
        <w:rPr>
          <w:rFonts w:ascii="Times New Roman;Times;serif" w:hAnsi="Times New Roman;Times;serif"/>
          <w:color w:val="000000"/>
          <w:sz w:val="20"/>
        </w:rPr>
      </w:pPr>
      <w:bookmarkStart w:id="310" w:name="tANXAS33"/>
      <w:bookmarkEnd w:id="310"/>
      <w:r>
        <w:rPr>
          <w:rFonts w:ascii="Times New Roman;Times;serif" w:hAnsi="Times New Roman;Times;serif"/>
          <w:color w:val="000000"/>
          <w:sz w:val="20"/>
        </w:rPr>
        <w:t>3.3 </w:t>
      </w:r>
      <w:r>
        <w:rPr>
          <w:rFonts w:ascii="Times New Roman;Times;serif" w:hAnsi="Times New Roman;Times;serif"/>
          <w:color w:val="000000"/>
          <w:sz w:val="20"/>
          <w:u w:val="single"/>
        </w:rPr>
        <w:t>Authority; No Violation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Times;serif" w:hAnsi="Times New Roman;Times;serif"/>
          <w:color w:val="000000"/>
          <w:sz w:val="20"/>
          <w:u w:val="single"/>
        </w:rPr>
        <w:t>Company Board Recommendation</w:t>
      </w:r>
      <w:r>
        <w:rPr>
          <w:rFonts w:ascii="Times New Roman;Times;serif" w:hAnsi="Times New Roman;Times;serif"/>
          <w:color w:val="000000"/>
          <w:sz w:val="20"/>
        </w:rPr>
        <w:t xml:space="preserve">”).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7966x1_n14_300-annexa_pg11"/>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Times;serif" w:hAnsi="Times New Roman;Times;serif"/>
          <w:color w:val="000000"/>
          <w:sz w:val="20"/>
          <w:u w:val="single"/>
        </w:rPr>
        <w:t>Bankruptcy and Equity Exception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 </w:t>
      </w:r>
    </w:p>
    <w:p>
      <w:pPr>
        <w:pStyle w:val="TextBody"/>
        <w:bidi w:val="0"/>
        <w:spacing w:before="120" w:after="283"/>
        <w:ind w:left="0" w:right="0" w:firstLine="400"/>
        <w:jc w:val="both"/>
        <w:rPr>
          <w:rFonts w:ascii="Times New Roman;Times;serif" w:hAnsi="Times New Roman;Times;serif"/>
          <w:color w:val="000000"/>
          <w:sz w:val="20"/>
        </w:rPr>
      </w:pPr>
      <w:bookmarkStart w:id="312" w:name="tANXAS34"/>
      <w:bookmarkEnd w:id="312"/>
      <w:r>
        <w:rPr>
          <w:rFonts w:ascii="Times New Roman;Times;serif" w:hAnsi="Times New Roman;Times;serif"/>
          <w:color w:val="000000"/>
          <w:sz w:val="20"/>
        </w:rPr>
        <w:t>3.4 </w:t>
      </w:r>
      <w:r>
        <w:rPr>
          <w:rFonts w:ascii="Times New Roman;Times;serif" w:hAnsi="Times New Roman;Times;serif"/>
          <w:color w:val="000000"/>
          <w:sz w:val="20"/>
          <w:u w:val="single"/>
        </w:rPr>
        <w:t>Governmental Consents</w:t>
      </w:r>
      <w:r>
        <w:rPr>
          <w:rFonts w:ascii="Times New Roman;Times;serif" w:hAnsi="Times New Roman;Times;serif"/>
          <w:color w:val="000000"/>
          <w:sz w:val="20"/>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Times;serif" w:hAnsi="Times New Roman;Times;serif"/>
          <w:color w:val="000000"/>
          <w:sz w:val="20"/>
          <w:u w:val="single"/>
        </w:rPr>
        <w:t>Joint Proxy Statement/Prospectus</w:t>
      </w:r>
      <w:r>
        <w:rPr>
          <w:rFonts w:ascii="Times New Roman;Times;serif" w:hAnsi="Times New Roman;Times;serif"/>
          <w:color w:val="000000"/>
          <w:sz w:val="20"/>
        </w:rPr>
        <w:t>”) and of a registration statement on Form N-14 or such other appropriate SEC form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 (vi) any such consents, approvals, filings or registrations that the failure to obtain or make would not, individually or in the aggregate, reasonably be expected to have a Material Adverse Effect with respect to the Company. </w:t>
      </w:r>
    </w:p>
    <w:p>
      <w:pPr>
        <w:pStyle w:val="TextBody"/>
        <w:bidi w:val="0"/>
        <w:spacing w:before="160" w:after="283"/>
        <w:ind w:left="0" w:right="0" w:firstLine="400"/>
        <w:jc w:val="left"/>
        <w:rPr>
          <w:rFonts w:ascii="Times New Roman;Times;serif" w:hAnsi="Times New Roman;Times;serif"/>
          <w:color w:val="000000"/>
          <w:sz w:val="20"/>
        </w:rPr>
      </w:pPr>
      <w:bookmarkStart w:id="313" w:name="tANXAS35"/>
      <w:bookmarkEnd w:id="313"/>
      <w:r>
        <w:rPr>
          <w:rFonts w:ascii="Times New Roman;Times;serif" w:hAnsi="Times New Roman;Times;serif"/>
          <w:color w:val="000000"/>
          <w:sz w:val="20"/>
        </w:rPr>
        <w:t>3.5 </w:t>
      </w:r>
      <w:r>
        <w:rPr>
          <w:rFonts w:ascii="Times New Roman;Times;serif" w:hAnsi="Times New Roman;Times;serif"/>
          <w:color w:val="000000"/>
          <w:sz w:val="20"/>
          <w:u w:val="single"/>
        </w:rPr>
        <w:t>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timely filed or furnished all forms, statements, certifications, reports and documents that it was required to file since January 1, 2024 (the “</w:t>
      </w:r>
      <w:r>
        <w:rPr>
          <w:rFonts w:ascii="Times New Roman;Times;serif" w:hAnsi="Times New Roman;Times;serif"/>
          <w:color w:val="000000"/>
          <w:sz w:val="20"/>
          <w:u w:val="single"/>
        </w:rPr>
        <w:t>Applicable Date</w:t>
      </w:r>
      <w:r>
        <w:rPr>
          <w:rFonts w:ascii="Times New Roman;Times;serif" w:hAnsi="Times New Roman;Times;serif"/>
          <w:color w:val="000000"/>
          <w:sz w:val="20"/>
        </w:rPr>
        <w:t>”) with the SEC (such filings since the Applicable Date, the “</w:t>
      </w:r>
      <w:r>
        <w:rPr>
          <w:rFonts w:ascii="Times New Roman;Times;serif" w:hAnsi="Times New Roman;Times;serif"/>
          <w:color w:val="000000"/>
          <w:sz w:val="20"/>
          <w:u w:val="single"/>
        </w:rPr>
        <w:t>Company SEC Reports</w:t>
      </w:r>
      <w:r>
        <w:rPr>
          <w:rFonts w:ascii="Times New Roman;Times;serif" w:hAnsi="Times New Roman;Times;serif"/>
          <w:color w:val="000000"/>
          <w:sz w:val="20"/>
        </w:rPr>
        <w:t xml:space="preserve">”),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7966x1_n14_300-annexa_pg12"/>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 </w:t>
      </w:r>
    </w:p>
    <w:p>
      <w:pPr>
        <w:pStyle w:val="TextBody"/>
        <w:bidi w:val="0"/>
        <w:spacing w:before="170" w:after="283"/>
        <w:ind w:left="0" w:right="0" w:firstLine="400"/>
        <w:jc w:val="left"/>
        <w:rPr>
          <w:rFonts w:ascii="Times New Roman;Times;serif" w:hAnsi="Times New Roman;Times;serif"/>
          <w:color w:val="000000"/>
          <w:sz w:val="20"/>
        </w:rPr>
      </w:pPr>
      <w:bookmarkStart w:id="315" w:name="tANXAS36"/>
      <w:bookmarkEnd w:id="315"/>
      <w:r>
        <w:rPr>
          <w:rFonts w:ascii="Times New Roman;Times;serif" w:hAnsi="Times New Roman;Times;serif"/>
          <w:color w:val="000000"/>
          <w:sz w:val="20"/>
        </w:rPr>
        <w:t>3.6 </w:t>
      </w:r>
      <w:r>
        <w:rPr>
          <w:rFonts w:ascii="Times New Roman;Times;serif" w:hAnsi="Times New Roman;Times;serif"/>
          <w:color w:val="000000"/>
          <w:sz w:val="20"/>
          <w:u w:val="single"/>
        </w:rPr>
        <w:t>Company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Times;serif" w:hAnsi="Times New Roman;Times;serif"/>
          <w:color w:val="000000"/>
          <w:sz w:val="20"/>
          <w:u w:val="single"/>
        </w:rPr>
        <w:t>GAAP</w:t>
      </w:r>
      <w:r>
        <w:rPr>
          <w:rFonts w:ascii="Times New Roman;Times;serif" w:hAnsi="Times New Roman;Times;serif"/>
          <w:color w:val="000000"/>
          <w:sz w:val="20"/>
        </w:rPr>
        <w:t>”) consistently applied during the periods involved, except, in each case, as indicated in such statements or in the notes thereto. BDO USA, P.C. (“</w:t>
      </w:r>
      <w:r>
        <w:rPr>
          <w:rFonts w:ascii="Times New Roman;Times;serif" w:hAnsi="Times New Roman;Times;serif"/>
          <w:color w:val="000000"/>
          <w:sz w:val="20"/>
          <w:u w:val="single"/>
        </w:rPr>
        <w:t>BDO</w:t>
      </w:r>
      <w:r>
        <w:rPr>
          <w:rFonts w:ascii="Times New Roman;Times;serif" w:hAnsi="Times New Roman;Times;serif"/>
          <w:color w:val="000000"/>
          <w:sz w:val="20"/>
        </w:rPr>
        <w:t xml:space="preserve">”)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Times;serif" w:hAnsi="Times New Roman;Times;serif"/>
          <w:color w:val="000000"/>
          <w:sz w:val="20"/>
          <w:u w:val="single"/>
        </w:rPr>
        <w:t>Company Balance Sheet</w:t>
      </w:r>
      <w:r>
        <w:rPr>
          <w:rFonts w:ascii="Times New Roman;Times;serif" w:hAnsi="Times New Roman;Times;serif"/>
          <w:color w:val="000000"/>
          <w:sz w:val="20"/>
        </w:rPr>
        <w:t xml:space="preserve">”),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the Company’s knowledge, since the Applicable Date, BDO, which has expressed its opinion with respect to the financial statements of the Company and its Consolidated Subsidiaries included in Company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77966x1_n14_300-annexa_pg13"/>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Times;serif" w:hAnsi="Times New Roman;Times;serif"/>
          <w:color w:val="000000"/>
          <w:sz w:val="20"/>
          <w:u w:val="single"/>
        </w:rPr>
        <w:t>Sarbanes-Oxley Act</w:t>
      </w:r>
      <w:r>
        <w:rPr>
          <w:rFonts w:ascii="Times New Roman;Times;serif" w:hAnsi="Times New Roman;Times;serif"/>
          <w:color w:val="000000"/>
          <w:sz w:val="20"/>
        </w:rPr>
        <w:t xml:space="preserve">”), and the statements contained in any such certifications are complete and correct, and the Company is otherwise in compliance in all material respects with all applicable effective provisions of the Sarbanes-Oxley Act.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Company has in all material respects: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 </w:t>
      </w:r>
    </w:p>
    <w:p>
      <w:pPr>
        <w:pStyle w:val="TextBody"/>
        <w:bidi w:val="0"/>
        <w:spacing w:before="120" w:after="283"/>
        <w:ind w:left="0" w:right="0" w:firstLine="400"/>
        <w:jc w:val="both"/>
        <w:rPr>
          <w:rFonts w:ascii="Times New Roman;Times;serif" w:hAnsi="Times New Roman;Times;serif"/>
          <w:color w:val="000000"/>
          <w:sz w:val="20"/>
        </w:rPr>
      </w:pPr>
      <w:bookmarkStart w:id="317" w:name="tANXAS37"/>
      <w:bookmarkEnd w:id="317"/>
      <w:r>
        <w:rPr>
          <w:rFonts w:ascii="Times New Roman;Times;serif" w:hAnsi="Times New Roman;Times;serif"/>
          <w:color w:val="000000"/>
          <w:sz w:val="20"/>
        </w:rPr>
        <w:t>3.7 </w:t>
      </w:r>
      <w:r>
        <w:rPr>
          <w:rFonts w:ascii="Times New Roman;Times;serif" w:hAnsi="Times New Roman;Times;serif"/>
          <w:color w:val="000000"/>
          <w:sz w:val="20"/>
          <w:u w:val="single"/>
        </w:rPr>
        <w:t>Broker’s Fees</w:t>
      </w:r>
      <w:r>
        <w:rPr>
          <w:rFonts w:ascii="Times New Roman;Times;serif" w:hAnsi="Times New Roman;Times;serif"/>
          <w:color w:val="000000"/>
          <w:sz w:val="20"/>
        </w:rPr>
        <w:t xml:space="preserve">.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77966x1_n14_300-annexa_pg14"/>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19" w:name="tANXAS38"/>
      <w:bookmarkEnd w:id="319"/>
      <w:r>
        <w:rPr>
          <w:rFonts w:ascii="Times New Roman;Times;serif" w:hAnsi="Times New Roman;Times;serif"/>
          <w:color w:val="000000"/>
          <w:sz w:val="20"/>
        </w:rPr>
        <w:t>3.8 </w:t>
      </w:r>
      <w:r>
        <w:rPr>
          <w:rFonts w:ascii="Times New Roman;Times;serif" w:hAnsi="Times New Roman;Times;serif"/>
          <w:color w:val="000000"/>
          <w:sz w:val="20"/>
          <w:u w:val="single"/>
        </w:rPr>
        <w:t>Absence of Changes or Events</w:t>
      </w:r>
      <w:r>
        <w:rPr>
          <w:rFonts w:ascii="Times New Roman;Times;serif" w:hAnsi="Times New Roman;Times;serif"/>
          <w:color w:val="000000"/>
          <w:sz w:val="20"/>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6.2</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20" w:name="tANXAS39"/>
      <w:bookmarkEnd w:id="320"/>
      <w:r>
        <w:rPr>
          <w:rFonts w:ascii="Times New Roman;Times;serif" w:hAnsi="Times New Roman;Times;serif"/>
          <w:color w:val="000000"/>
          <w:sz w:val="20"/>
        </w:rPr>
        <w:t>3.9 </w:t>
      </w:r>
      <w:r>
        <w:rPr>
          <w:rFonts w:ascii="Times New Roman;Times;serif" w:hAnsi="Times New Roman;Times;serif"/>
          <w:color w:val="000000"/>
          <w:sz w:val="20"/>
          <w:u w:val="single"/>
        </w:rPr>
        <w:t>Compliance with Applicable Law; Permits</w:t>
      </w:r>
      <w:r>
        <w:rPr>
          <w:rFonts w:ascii="Times New Roman;Times;serif" w:hAnsi="Times New Roman;Times;serif"/>
          <w:color w:val="000000"/>
          <w:sz w:val="20"/>
        </w:rPr>
        <w:t xml:space="preserve">. Except as otherwise set forth on Section 3.9 of the Company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21" w:name="tANXAS310"/>
      <w:bookmarkEnd w:id="321"/>
      <w:r>
        <w:rPr>
          <w:rFonts w:ascii="Times New Roman;Times;serif" w:hAnsi="Times New Roman;Times;serif"/>
          <w:color w:val="000000"/>
          <w:sz w:val="20"/>
        </w:rPr>
        <w:t>3.10 </w:t>
      </w:r>
      <w:r>
        <w:rPr>
          <w:rFonts w:ascii="Times New Roman;Times;serif" w:hAnsi="Times New Roman;Times;serif"/>
          <w:color w:val="000000"/>
          <w:sz w:val="20"/>
          <w:u w:val="single"/>
        </w:rPr>
        <w:t>Company Information</w:t>
      </w:r>
      <w:r>
        <w:rPr>
          <w:rFonts w:ascii="Times New Roman;Times;serif" w:hAnsi="Times New Roman;Times;serif"/>
          <w:color w:val="000000"/>
          <w:sz w:val="20"/>
        </w:rPr>
        <w:t xml:space="preserve">.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 </w:t>
      </w:r>
    </w:p>
    <w:p>
      <w:pPr>
        <w:pStyle w:val="TextBody"/>
        <w:bidi w:val="0"/>
        <w:spacing w:before="160" w:after="283"/>
        <w:ind w:left="0" w:right="0" w:firstLine="400"/>
        <w:jc w:val="left"/>
        <w:rPr>
          <w:rFonts w:ascii="Times New Roman;Times;serif" w:hAnsi="Times New Roman;Times;serif"/>
          <w:color w:val="000000"/>
          <w:sz w:val="20"/>
        </w:rPr>
      </w:pPr>
      <w:bookmarkStart w:id="322" w:name="tANXAS311"/>
      <w:bookmarkEnd w:id="322"/>
      <w:r>
        <w:rPr>
          <w:rFonts w:ascii="Times New Roman;Times;serif" w:hAnsi="Times New Roman;Times;serif"/>
          <w:color w:val="000000"/>
          <w:sz w:val="20"/>
        </w:rPr>
        <w:t>3.11 </w:t>
      </w:r>
      <w:r>
        <w:rPr>
          <w:rFonts w:ascii="Times New Roman;Times;serif" w:hAnsi="Times New Roman;Times;serif"/>
          <w:color w:val="000000"/>
          <w:sz w:val="20"/>
          <w:u w:val="single"/>
        </w:rPr>
        <w:t>Taxes and Tax Returns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7966x1_n14_300-annexa_pg15"/>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material Tax Return of the Company or any Consolidated Subsidiary has been examined by the Internal Revenue Service (the “</w:t>
      </w:r>
      <w:r>
        <w:rPr>
          <w:rFonts w:ascii="Times New Roman;Times;serif" w:hAnsi="Times New Roman;Times;serif"/>
          <w:color w:val="000000"/>
          <w:sz w:val="20"/>
          <w:u w:val="single"/>
        </w:rPr>
        <w:t>IRS</w:t>
      </w:r>
      <w:r>
        <w:rPr>
          <w:rFonts w:ascii="Times New Roman;Times;serif" w:hAnsi="Times New Roman;Times;serif"/>
          <w:color w:val="000000"/>
          <w:sz w:val="20"/>
        </w:rPr>
        <w:t xml:space="preserve">”) or other relevant taxing authority. There are no material disputes pending, or written claims asserted, for Taxes or assessments upon the Company or any of its Consolidated Subsidiaries for which the Company does not have reserves that are adequate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(j) For each taxable year since the Company’s election to be taxed as a REIT, the Company has satisfied (i) the 75% gross income test set forth in Section 856(c)(3) of the Code and (ii) the 95% gross income test set forth in Section 856(c)(2)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7966x1_n14_300-annexa_pg16"/>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(l) For each taxable year since the Company’s election to be taxed as a REIT, the Company has distributed dividends in an amount sufficient to satisfy the distribution requirements of Section 857(a)(1)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(o) The Company is not aware of any fact or circumstance that could reasonably be expected to prevent the Merger from qualifying as a “reorganization” within the meaning of Section 368(a)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(p) After giving effect to the Tax Dividend, the Company will have no “earnings and profits” for U.S. federal income Tax purposes described in Section 852(a)(2)(B)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(q) The Company is not now and will not be subject to corporate-level income taxation on the sale, transfer or other disposition of its assets currently held as a result of the application of Section 337(d) of the Code or the Treasury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(s) Neither the Company nor any of its Consolidated Subsidiaries has, or has ever had, a permanent establishment in any country other than the United States.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(t) Neither the Company nor any of its Consolidated Subsidiaries has requested a private letter ruling from the IRS or comparable rulings from other taxing authorities.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(u) Neither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(v) Neither the Company nor any of its Consolidated Subsidiaries has ever been a member of a consolidated, combined or unitary Tax group (other than such a group the common parent of which is the Company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(w) There are no material Liens for Taxes (other than Taxes not yet due and payable) upon any of the assets of the Company or any of its Consolidated Subsidiaries. </w:t>
      </w:r>
    </w:p>
    <w:p>
      <w:pPr>
        <w:pStyle w:val="TextBody"/>
        <w:bidi w:val="0"/>
        <w:spacing w:before="120" w:after="283"/>
        <w:ind w:left="0" w:right="0" w:firstLine="400"/>
        <w:jc w:val="both"/>
        <w:rPr>
          <w:rFonts w:ascii="Times New Roman;Times;serif" w:hAnsi="Times New Roman;Times;serif"/>
          <w:color w:val="000000"/>
          <w:sz w:val="20"/>
        </w:rPr>
      </w:pPr>
      <w:bookmarkStart w:id="325" w:name="tANXAS312"/>
      <w:bookmarkEnd w:id="325"/>
      <w:r>
        <w:rPr>
          <w:rFonts w:ascii="Times New Roman;Times;serif" w:hAnsi="Times New Roman;Times;serif"/>
          <w:color w:val="000000"/>
          <w:sz w:val="20"/>
        </w:rPr>
        <w:t>3.12 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7966x1_n14_300-annexa_pg17"/>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27" w:name="tANXAS313"/>
      <w:bookmarkEnd w:id="327"/>
      <w:r>
        <w:rPr>
          <w:rFonts w:ascii="Times New Roman;Times;serif" w:hAnsi="Times New Roman;Times;serif"/>
          <w:color w:val="000000"/>
          <w:sz w:val="20"/>
        </w:rPr>
        <w:t>3.13 </w:t>
      </w:r>
      <w:r>
        <w:rPr>
          <w:rFonts w:ascii="Times New Roman;Times;serif" w:hAnsi="Times New Roman;Times;serif"/>
          <w:color w:val="000000"/>
          <w:sz w:val="20"/>
          <w:u w:val="single"/>
        </w:rPr>
        <w:t>Employee Matters</w:t>
      </w:r>
      <w:r>
        <w:rPr>
          <w:rFonts w:ascii="Times New Roman;Times;serif" w:hAnsi="Times New Roman;Times;serif"/>
          <w:color w:val="000000"/>
          <w:sz w:val="20"/>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28" w:name="tANXAS314"/>
      <w:bookmarkEnd w:id="328"/>
      <w:r>
        <w:rPr>
          <w:rFonts w:ascii="Times New Roman;Times;serif" w:hAnsi="Times New Roman;Times;serif"/>
          <w:color w:val="000000"/>
          <w:sz w:val="20"/>
        </w:rPr>
        <w:t>3.14 </w:t>
      </w:r>
      <w:r>
        <w:rPr>
          <w:rFonts w:ascii="Times New Roman;Times;serif" w:hAnsi="Times New Roman;Times;serif"/>
          <w:color w:val="000000"/>
          <w:sz w:val="20"/>
          <w:u w:val="single"/>
        </w:rPr>
        <w:t>Certain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Previously Disclosed a complete and accurate list of, and true and complete copies have been delivered or made available (including via EDGAR) to Acquiror of, all Contracts (collectively, the “</w:t>
      </w:r>
      <w:r>
        <w:rPr>
          <w:rFonts w:ascii="Times New Roman;Times;serif" w:hAnsi="Times New Roman;Times;serif"/>
          <w:color w:val="000000"/>
          <w:sz w:val="20"/>
          <w:u w:val="single"/>
        </w:rPr>
        <w:t>Company Material Contracts</w:t>
      </w:r>
      <w:r>
        <w:rPr>
          <w:rFonts w:ascii="Times New Roman;Times;serif" w:hAnsi="Times New Roman;Times;serif"/>
          <w:color w:val="000000"/>
          <w:sz w:val="20"/>
        </w:rPr>
        <w:t xml:space="preserve">”)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Contract that is a “material contract” within the meaning of Item 601(b)(10) of the SEC’s Regulation S-K or that is material to the Company or its financial condition or results of operations;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partnership, limited liability company, joint venture or other similar Contract that is not entered into in the ordinary course of business and is material to the Company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Contract with a Governmental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7966x1_n14_300-annexa_pg18"/>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30" w:name="tANXAS315"/>
      <w:bookmarkEnd w:id="330"/>
      <w:r>
        <w:rPr>
          <w:rFonts w:ascii="Times New Roman;Times;serif" w:hAnsi="Times New Roman;Times;serif"/>
          <w:color w:val="000000"/>
          <w:sz w:val="20"/>
        </w:rPr>
        <w:t>3.15 </w:t>
      </w:r>
      <w:r>
        <w:rPr>
          <w:rFonts w:ascii="Times New Roman;Times;serif" w:hAnsi="Times New Roman;Times;serif"/>
          <w:color w:val="000000"/>
          <w:sz w:val="20"/>
          <w:u w:val="single"/>
        </w:rPr>
        <w:t>Insurance Coverage</w:t>
      </w:r>
      <w:r>
        <w:rPr>
          <w:rFonts w:ascii="Times New Roman;Times;serif" w:hAnsi="Times New Roman;Times;serif"/>
          <w:color w:val="000000"/>
          <w:sz w:val="20"/>
        </w:rPr>
        <w:t>. All material insurance policies maintained by the Company or any of its Consolidated Subsidiaries and that name the Company or any of its Consolidated Subsidiaries as an insured (each, a “</w:t>
      </w:r>
      <w:r>
        <w:rPr>
          <w:rFonts w:ascii="Times New Roman;Times;serif" w:hAnsi="Times New Roman;Times;serif"/>
          <w:color w:val="000000"/>
          <w:sz w:val="20"/>
          <w:u w:val="single"/>
        </w:rPr>
        <w:t>Company Insurance Policy</w:t>
      </w:r>
      <w:r>
        <w:rPr>
          <w:rFonts w:ascii="Times New Roman;Times;serif" w:hAnsi="Times New Roman;Times;serif"/>
          <w:color w:val="000000"/>
          <w:sz w:val="20"/>
        </w:rPr>
        <w:t xml:space="preserve">”), are in full force and effect and all premiums due and payable with respect to each Company Insurance Policy have been paid. Neither the Company nor any of its Consolidated Subsidiaries has received written notice of cancellation of any Company Insurance Policy. </w:t>
      </w:r>
    </w:p>
    <w:p>
      <w:pPr>
        <w:pStyle w:val="TextBody"/>
        <w:bidi w:val="0"/>
        <w:spacing w:before="120" w:after="283"/>
        <w:ind w:left="0" w:right="0" w:firstLine="400"/>
        <w:jc w:val="both"/>
        <w:rPr>
          <w:rFonts w:ascii="Times New Roman;Times;serif" w:hAnsi="Times New Roman;Times;serif"/>
          <w:color w:val="000000"/>
          <w:sz w:val="20"/>
        </w:rPr>
      </w:pPr>
      <w:bookmarkStart w:id="331" w:name="tANXAS316"/>
      <w:bookmarkEnd w:id="331"/>
      <w:r>
        <w:rPr>
          <w:rFonts w:ascii="Times New Roman;Times;serif" w:hAnsi="Times New Roman;Times;serif"/>
          <w:color w:val="000000"/>
          <w:sz w:val="20"/>
        </w:rPr>
        <w:t>3.16 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that are material to the conduct of the business of the Company and its Consolidated Subsidiaries taken as a whole (hereinafter, “</w:t>
      </w:r>
      <w:r>
        <w:rPr>
          <w:rFonts w:ascii="Times New Roman;Times;serif" w:hAnsi="Times New Roman;Times;serif"/>
          <w:color w:val="000000"/>
          <w:sz w:val="20"/>
          <w:u w:val="single"/>
        </w:rPr>
        <w:t>Company Intellectual Property Rights</w:t>
      </w:r>
      <w:r>
        <w:rPr>
          <w:rFonts w:ascii="Times New Roman;Times;serif" w:hAnsi="Times New Roman;Times;serif"/>
          <w:color w:val="000000"/>
          <w:sz w:val="20"/>
        </w:rPr>
        <w:t xml:space="preserve">”),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32" w:name="tANXAS317"/>
      <w:bookmarkEnd w:id="332"/>
      <w:r>
        <w:rPr>
          <w:rFonts w:ascii="Times New Roman;Times;serif" w:hAnsi="Times New Roman;Times;serif"/>
          <w:color w:val="000000"/>
          <w:sz w:val="20"/>
        </w:rPr>
        <w:t>3.17 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Except as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are no Proceedings of any kind, pending or, to the knowledge of the Company, threatened, against the Company or any of its Consolidated Subsidiaries, arising under any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are no Orders by or with any Governmental Entity, imposing any liability or obligation on the Company or any of its Consolidated Subsidiaries under or in respect of any Environmental Law;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and have been no Hazardous Substances or other conditions related thereto at any property owned or premises leased by the Company or any of its Consolidated Subsidiaries during the period of the Company’s or its Consolidated Subsidiary’s ownership or lease.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 </w:t>
      </w:r>
    </w:p>
    <w:p>
      <w:pPr>
        <w:pStyle w:val="TextBody"/>
        <w:bidi w:val="0"/>
        <w:spacing w:before="120" w:after="283"/>
        <w:ind w:left="0" w:right="0" w:firstLine="400"/>
        <w:jc w:val="both"/>
        <w:rPr>
          <w:rFonts w:ascii="Times New Roman;Times;serif" w:hAnsi="Times New Roman;Times;serif"/>
          <w:color w:val="000000"/>
          <w:sz w:val="20"/>
        </w:rPr>
      </w:pPr>
      <w:bookmarkStart w:id="333" w:name="tANXAS318"/>
      <w:bookmarkEnd w:id="333"/>
      <w:r>
        <w:rPr>
          <w:rFonts w:ascii="Times New Roman;Times;serif" w:hAnsi="Times New Roman;Times;serif"/>
          <w:color w:val="000000"/>
          <w:sz w:val="20"/>
        </w:rPr>
        <w:t>3.18 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Neither the Company nor any of its Consolidated Subsidiaries owns or leases any real property. </w:t>
      </w:r>
    </w:p>
    <w:p>
      <w:pPr>
        <w:pStyle w:val="TextBody"/>
        <w:bidi w:val="0"/>
        <w:spacing w:before="120" w:after="283"/>
        <w:ind w:left="0" w:right="0" w:firstLine="400"/>
        <w:jc w:val="both"/>
        <w:rPr>
          <w:rFonts w:ascii="Times New Roman;Times;serif" w:hAnsi="Times New Roman;Times;serif"/>
          <w:color w:val="000000"/>
          <w:sz w:val="20"/>
        </w:rPr>
      </w:pPr>
      <w:bookmarkStart w:id="334" w:name="tANXAS319"/>
      <w:bookmarkEnd w:id="334"/>
      <w:r>
        <w:rPr>
          <w:rFonts w:ascii="Times New Roman;Times;serif" w:hAnsi="Times New Roman;Times;serif"/>
          <w:color w:val="000000"/>
          <w:sz w:val="20"/>
        </w:rPr>
        <w:t>3.19 </w:t>
      </w:r>
      <w:r>
        <w:rPr>
          <w:rFonts w:ascii="Times New Roman;Times;serif" w:hAnsi="Times New Roman;Times;serif"/>
          <w:color w:val="000000"/>
          <w:sz w:val="20"/>
          <w:u w:val="single"/>
        </w:rPr>
        <w:t>Investment Assets</w:t>
      </w:r>
      <w:r>
        <w:rPr>
          <w:rFonts w:ascii="Times New Roman;Times;serif" w:hAnsi="Times New Roman;Times;serif"/>
          <w:color w:val="000000"/>
          <w:sz w:val="20"/>
        </w:rPr>
        <w:t xml:space="preserve">. Each of the Company and its Consolidated Subsidiaries has good title to all securities, Indebtedness and other financial instruments owned by it, free and clear of any material Liens, except to the extent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7966x1_n14_300-annexa_pg19"/>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w:t>
      </w:r>
    </w:p>
    <w:p>
      <w:pPr>
        <w:pStyle w:val="TextBody"/>
        <w:bidi w:val="0"/>
        <w:spacing w:before="120" w:after="283"/>
        <w:ind w:left="0" w:right="0" w:firstLine="400"/>
        <w:jc w:val="both"/>
        <w:rPr>
          <w:rFonts w:ascii="Times New Roman;Times;serif" w:hAnsi="Times New Roman;Times;serif"/>
          <w:color w:val="000000"/>
          <w:sz w:val="20"/>
        </w:rPr>
      </w:pPr>
      <w:bookmarkStart w:id="336" w:name="tANXAS320"/>
      <w:bookmarkEnd w:id="336"/>
      <w:r>
        <w:rPr>
          <w:rFonts w:ascii="Times New Roman;Times;serif" w:hAnsi="Times New Roman;Times;serif"/>
          <w:color w:val="000000"/>
          <w:sz w:val="20"/>
        </w:rPr>
        <w:t>3.20 </w:t>
      </w:r>
      <w:r>
        <w:rPr>
          <w:rFonts w:ascii="Times New Roman;Times;serif" w:hAnsi="Times New Roman;Times;serif"/>
          <w:color w:val="000000"/>
          <w:sz w:val="20"/>
          <w:u w:val="single"/>
        </w:rPr>
        <w:t>State Takeover Laws</w:t>
      </w:r>
      <w:r>
        <w:rPr>
          <w:rFonts w:ascii="Times New Roman;Times;serif" w:hAnsi="Times New Roman;Times;serif"/>
          <w:color w:val="000000"/>
          <w:sz w:val="20"/>
        </w:rPr>
        <w:t>. No restrictions on “business combinations” set forth in any “moratorium,” “control share,” “fair price,” “takeover” or “interested stockholder” Law (any such laws,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are applicable to this Agreement, the Merger or the other Transactions. </w:t>
      </w:r>
    </w:p>
    <w:p>
      <w:pPr>
        <w:pStyle w:val="TextBody"/>
        <w:bidi w:val="0"/>
        <w:spacing w:before="120" w:after="283"/>
        <w:ind w:left="0" w:right="0" w:firstLine="400"/>
        <w:jc w:val="both"/>
        <w:rPr>
          <w:rFonts w:ascii="Times New Roman;Times;serif" w:hAnsi="Times New Roman;Times;serif"/>
          <w:color w:val="000000"/>
          <w:sz w:val="20"/>
        </w:rPr>
      </w:pPr>
      <w:bookmarkStart w:id="337" w:name="tANXAS321"/>
      <w:bookmarkEnd w:id="337"/>
      <w:r>
        <w:rPr>
          <w:rFonts w:ascii="Times New Roman;Times;serif" w:hAnsi="Times New Roman;Times;serif"/>
          <w:color w:val="000000"/>
          <w:sz w:val="20"/>
        </w:rPr>
        <w:t>3.21 </w:t>
      </w:r>
      <w:r>
        <w:rPr>
          <w:rFonts w:ascii="Times New Roman;Times;serif" w:hAnsi="Times New Roman;Times;serif"/>
          <w:color w:val="000000"/>
          <w:sz w:val="20"/>
          <w:u w:val="single"/>
        </w:rPr>
        <w:t>Appraisal Rights</w:t>
      </w:r>
      <w:r>
        <w:rPr>
          <w:rFonts w:ascii="Times New Roman;Times;serif" w:hAnsi="Times New Roman;Times;serif"/>
          <w:color w:val="000000"/>
          <w:sz w:val="20"/>
        </w:rPr>
        <w:t xml:space="preserve">. In accordance with Title 3, Subtitle 2 of the MGCL and the Company Charter, no appraisal rights shall be available to holders of Company Common Stock in connection with the Transactions. </w:t>
      </w:r>
    </w:p>
    <w:p>
      <w:pPr>
        <w:pStyle w:val="TextBody"/>
        <w:bidi w:val="0"/>
        <w:spacing w:before="120" w:after="283"/>
        <w:ind w:left="0" w:right="0" w:firstLine="400"/>
        <w:jc w:val="both"/>
        <w:rPr>
          <w:rFonts w:ascii="Times New Roman;Times;serif" w:hAnsi="Times New Roman;Times;serif"/>
          <w:color w:val="000000"/>
          <w:sz w:val="20"/>
        </w:rPr>
      </w:pPr>
      <w:bookmarkStart w:id="338" w:name="tANXAS322"/>
      <w:bookmarkEnd w:id="338"/>
      <w:r>
        <w:rPr>
          <w:rFonts w:ascii="Times New Roman;Times;serif" w:hAnsi="Times New Roman;Times;serif"/>
          <w:color w:val="000000"/>
          <w:sz w:val="20"/>
        </w:rPr>
        <w:t>3.22 </w:t>
      </w:r>
      <w:r>
        <w:rPr>
          <w:rFonts w:ascii="Times New Roman;Times;serif" w:hAnsi="Times New Roman;Times;serif"/>
          <w:color w:val="000000"/>
          <w:sz w:val="20"/>
          <w:u w:val="single"/>
        </w:rPr>
        <w:t>Valuation</w:t>
      </w:r>
      <w:r>
        <w:rPr>
          <w:rFonts w:ascii="Times New Roman;Times;serif" w:hAnsi="Times New Roman;Times;serif"/>
          <w:color w:val="000000"/>
          <w:sz w:val="20"/>
        </w:rPr>
        <w:t xml:space="preserve">. The value of each investment asset owned by the Company that is used in connection with the computations made by the Company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for purposes of this Agreement. The value of all assets owned by the Company other than investment assets that are used in connection with the computations made by the Company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GAAP. All third party valuations shall have been conducted by Stout Risius Ross, LLC. </w:t>
      </w:r>
    </w:p>
    <w:p>
      <w:pPr>
        <w:pStyle w:val="TextBody"/>
        <w:bidi w:val="0"/>
        <w:spacing w:before="120" w:after="283"/>
        <w:ind w:left="0" w:right="0" w:firstLine="400"/>
        <w:jc w:val="both"/>
        <w:rPr>
          <w:rFonts w:ascii="Times New Roman;Times;serif" w:hAnsi="Times New Roman;Times;serif"/>
          <w:color w:val="000000"/>
          <w:sz w:val="20"/>
        </w:rPr>
      </w:pPr>
      <w:bookmarkStart w:id="339" w:name="tANXAS323"/>
      <w:bookmarkEnd w:id="339"/>
      <w:r>
        <w:rPr>
          <w:rFonts w:ascii="Times New Roman;Times;serif" w:hAnsi="Times New Roman;Times;serif"/>
          <w:color w:val="000000"/>
          <w:sz w:val="20"/>
        </w:rPr>
        <w:t>3.23 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xml:space="preserve">.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 </w:t>
      </w:r>
    </w:p>
    <w:p>
      <w:pPr>
        <w:pStyle w:val="TextBody"/>
        <w:bidi w:val="0"/>
        <w:spacing w:before="300" w:after="283"/>
        <w:jc w:val="center"/>
        <w:rPr>
          <w:rFonts w:ascii="Times New Roman;Times;serif" w:hAnsi="Times New Roman;Times;serif"/>
          <w:b/>
          <w:color w:val="000000"/>
          <w:sz w:val="20"/>
        </w:rPr>
      </w:pPr>
      <w:bookmarkStart w:id="340" w:name="tANXAA4"/>
      <w:bookmarkEnd w:id="340"/>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ACQUIROR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matters that have been Previously Disclosed and in reliance on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of this Agreement, Acquiror hereby represents and warrants to the Company that: </w:t>
      </w:r>
    </w:p>
    <w:p>
      <w:pPr>
        <w:pStyle w:val="TextBody"/>
        <w:bidi w:val="0"/>
        <w:spacing w:before="160" w:after="283"/>
        <w:ind w:left="0" w:right="0" w:firstLine="400"/>
        <w:jc w:val="left"/>
        <w:rPr>
          <w:rFonts w:ascii="Times New Roman;Times;serif" w:hAnsi="Times New Roman;Times;serif"/>
          <w:color w:val="000000"/>
          <w:sz w:val="20"/>
        </w:rPr>
      </w:pPr>
      <w:bookmarkStart w:id="341" w:name="tANXAS41"/>
      <w:bookmarkEnd w:id="341"/>
      <w:r>
        <w:rPr>
          <w:rFonts w:ascii="Times New Roman;Times;serif" w:hAnsi="Times New Roman;Times;serif"/>
          <w:color w:val="000000"/>
          <w:sz w:val="20"/>
        </w:rPr>
        <w:t>4.1 </w:t>
      </w:r>
      <w:r>
        <w:rPr>
          <w:rFonts w:ascii="Times New Roman;Times;serif" w:hAnsi="Times New Roman;Times;serif"/>
          <w:color w:val="000000"/>
          <w:sz w:val="20"/>
          <w:u w:val="single"/>
        </w:rPr>
        <w:t>Corporate Organization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(b) True, complete and correct copies of the form of Articles of Incorporation of Acquiror (the “</w:t>
      </w:r>
      <w:r>
        <w:rPr>
          <w:rFonts w:ascii="Times New Roman;Times;serif" w:hAnsi="Times New Roman;Times;serif"/>
          <w:color w:val="000000"/>
          <w:sz w:val="20"/>
          <w:u w:val="single"/>
        </w:rPr>
        <w:t>Acquiror Charter</w:t>
      </w:r>
      <w:r>
        <w:rPr>
          <w:rFonts w:ascii="Times New Roman;Times;serif" w:hAnsi="Times New Roman;Times;serif"/>
          <w:color w:val="000000"/>
          <w:sz w:val="20"/>
        </w:rPr>
        <w:t>”) and the form of Bylaws of Acquiror (the “</w:t>
      </w:r>
      <w:r>
        <w:rPr>
          <w:rFonts w:ascii="Times New Roman;Times;serif" w:hAnsi="Times New Roman;Times;serif"/>
          <w:color w:val="000000"/>
          <w:sz w:val="20"/>
          <w:u w:val="single"/>
        </w:rPr>
        <w:t>Acquiror Bylaws</w:t>
      </w:r>
      <w:r>
        <w:rPr>
          <w:rFonts w:ascii="Times New Roman;Times;serif" w:hAnsi="Times New Roman;Times;serif"/>
          <w:color w:val="000000"/>
          <w:sz w:val="20"/>
        </w:rPr>
        <w:t xml:space="preserve">”), as in effect as of the date of this Agreement, have previously been publicly filed by Acquiror.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Acquiror has no Subsidiaries. </w:t>
      </w:r>
    </w:p>
    <w:p>
      <w:pPr>
        <w:pStyle w:val="TextBody"/>
        <w:bidi w:val="0"/>
        <w:spacing w:before="120" w:after="283"/>
        <w:ind w:left="0" w:right="0" w:firstLine="400"/>
        <w:jc w:val="both"/>
        <w:rPr>
          <w:rFonts w:ascii="Times New Roman;Times;serif" w:hAnsi="Times New Roman;Times;serif"/>
          <w:color w:val="000000"/>
          <w:sz w:val="20"/>
        </w:rPr>
      </w:pPr>
      <w:bookmarkStart w:id="342" w:name="tANXAS42"/>
      <w:bookmarkEnd w:id="342"/>
      <w:r>
        <w:rPr>
          <w:rFonts w:ascii="Times New Roman;Times;serif" w:hAnsi="Times New Roman;Times;serif"/>
          <w:color w:val="000000"/>
          <w:sz w:val="20"/>
        </w:rPr>
        <w:t>4.2 </w:t>
      </w:r>
      <w:r>
        <w:rPr>
          <w:rFonts w:ascii="Times New Roman;Times;serif" w:hAnsi="Times New Roman;Times;serif"/>
          <w:color w:val="000000"/>
          <w:sz w:val="20"/>
          <w:u w:val="single"/>
        </w:rPr>
        <w:t>Capitalization</w:t>
      </w:r>
      <w:r>
        <w:rPr>
          <w:rFonts w:ascii="Times New Roman;Times;serif" w:hAnsi="Times New Roman;Times;serif"/>
          <w:color w:val="000000"/>
          <w:sz w:val="20"/>
        </w:rPr>
        <w:t>. The authorized capital stock of Acquiror consists of (i) 100,000,000 shares of Acquiror Common Stock, of which 22,890,590 were outstanding as of the close of business on June 11, 2026 (the “</w:t>
      </w:r>
      <w:r>
        <w:rPr>
          <w:rFonts w:ascii="Times New Roman;Times;serif" w:hAnsi="Times New Roman;Times;serif"/>
          <w:color w:val="000000"/>
          <w:sz w:val="20"/>
          <w:u w:val="single"/>
        </w:rPr>
        <w:t>Acquiror Capitalization Date</w:t>
      </w:r>
      <w:r>
        <w:rPr>
          <w:rFonts w:ascii="Times New Roman;Times;serif" w:hAnsi="Times New Roman;Times;serif"/>
          <w:color w:val="000000"/>
          <w:sz w:val="20"/>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Times;serif" w:hAnsi="Times New Roman;Times;serif"/>
          <w:color w:val="000000"/>
          <w:sz w:val="20"/>
          <w:u w:val="single"/>
        </w:rPr>
        <w:t>Acquiror Voting Debt</w:t>
      </w:r>
      <w:r>
        <w:rPr>
          <w:rFonts w:ascii="Times New Roman;Times;serif" w:hAnsi="Times New Roman;Times;serif"/>
          <w:color w:val="000000"/>
          <w:sz w:val="20"/>
        </w:rPr>
        <w:t xml:space="preserve">”)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77966x1_n14_300-annexa_pg20"/>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 </w:t>
      </w:r>
    </w:p>
    <w:p>
      <w:pPr>
        <w:pStyle w:val="TextBody"/>
        <w:bidi w:val="0"/>
        <w:spacing w:before="170" w:after="283"/>
        <w:ind w:left="0" w:right="0" w:firstLine="400"/>
        <w:jc w:val="left"/>
        <w:rPr>
          <w:rFonts w:ascii="Times New Roman;Times;serif" w:hAnsi="Times New Roman;Times;serif"/>
          <w:color w:val="000000"/>
          <w:sz w:val="20"/>
        </w:rPr>
      </w:pPr>
      <w:bookmarkStart w:id="344" w:name="tANXAS43"/>
      <w:bookmarkEnd w:id="344"/>
      <w:r>
        <w:rPr>
          <w:rFonts w:ascii="Times New Roman;Times;serif" w:hAnsi="Times New Roman;Times;serif"/>
          <w:color w:val="000000"/>
          <w:sz w:val="20"/>
        </w:rPr>
        <w:t>4.3 </w:t>
      </w:r>
      <w:r>
        <w:rPr>
          <w:rFonts w:ascii="Times New Roman;Times;serif" w:hAnsi="Times New Roman;Times;serif"/>
          <w:color w:val="000000"/>
          <w:sz w:val="20"/>
          <w:u w:val="single"/>
        </w:rPr>
        <w:t>Authority; No Violation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Times;serif" w:hAnsi="Times New Roman;Times;serif"/>
          <w:color w:val="000000"/>
          <w:sz w:val="20"/>
          <w:u w:val="single"/>
        </w:rPr>
        <w:t>Acquiror Stock Issuance</w:t>
      </w:r>
      <w:r>
        <w:rPr>
          <w:rFonts w:ascii="Times New Roman;Times;serif" w:hAnsi="Times New Roman;Times;serif"/>
          <w:color w:val="000000"/>
          <w:sz w:val="20"/>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Times;serif" w:hAnsi="Times New Roman;Times;serif"/>
          <w:color w:val="000000"/>
          <w:sz w:val="20"/>
          <w:u w:val="single"/>
        </w:rPr>
        <w:t>Acquiror Stockholders Meeting</w:t>
      </w:r>
      <w:r>
        <w:rPr>
          <w:rFonts w:ascii="Times New Roman;Times;serif" w:hAnsi="Times New Roman;Times;serif"/>
          <w:color w:val="000000"/>
          <w:sz w:val="20"/>
        </w:rPr>
        <w:t>”) and (iv) resolved to recommend that the stockholders of Acquiror approve this Agreement and the Merger and the other Transactions contemplated hereby, including the Acquiror Stock Issuance (such recommendation, collectively, the “</w:t>
      </w:r>
      <w:r>
        <w:rPr>
          <w:rFonts w:ascii="Times New Roman;Times;serif" w:hAnsi="Times New Roman;Times;serif"/>
          <w:color w:val="000000"/>
          <w:sz w:val="20"/>
          <w:u w:val="single"/>
        </w:rPr>
        <w:t>Acquiror Board Recommendation</w:t>
      </w:r>
      <w:r>
        <w:rPr>
          <w:rFonts w:ascii="Times New Roman;Times;serif" w:hAnsi="Times New Roman;Times;serif"/>
          <w:color w:val="000000"/>
          <w:sz w:val="20"/>
        </w:rPr>
        <w:t xml:space="preserve">”).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 </w:t>
      </w:r>
    </w:p>
    <w:p>
      <w:pPr>
        <w:pStyle w:val="TextBody"/>
        <w:bidi w:val="0"/>
        <w:spacing w:before="120" w:after="283"/>
        <w:ind w:left="0" w:right="0" w:firstLine="400"/>
        <w:jc w:val="both"/>
        <w:rPr>
          <w:rFonts w:ascii="Times New Roman;Times;serif" w:hAnsi="Times New Roman;Times;serif"/>
          <w:color w:val="000000"/>
          <w:sz w:val="20"/>
        </w:rPr>
      </w:pPr>
      <w:bookmarkStart w:id="345" w:name="tANXAS44"/>
      <w:bookmarkEnd w:id="345"/>
      <w:r>
        <w:rPr>
          <w:rFonts w:ascii="Times New Roman;Times;serif" w:hAnsi="Times New Roman;Times;serif"/>
          <w:color w:val="000000"/>
          <w:sz w:val="20"/>
        </w:rPr>
        <w:t>4.4 </w:t>
      </w:r>
      <w:r>
        <w:rPr>
          <w:rFonts w:ascii="Times New Roman;Times;serif" w:hAnsi="Times New Roman;Times;serif"/>
          <w:color w:val="000000"/>
          <w:sz w:val="20"/>
          <w:u w:val="single"/>
        </w:rPr>
        <w:t>Governmental Consents</w:t>
      </w:r>
      <w:r>
        <w:rPr>
          <w:rFonts w:ascii="Times New Roman;Times;serif" w:hAnsi="Times New Roman;Times;serif"/>
          <w:color w:val="000000"/>
          <w:sz w:val="20"/>
        </w:rPr>
        <w:t xml:space="preserve">.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77966x1_n14_300-annexa_pg21"/>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7" w:name="tANXAS45"/>
      <w:bookmarkEnd w:id="347"/>
      <w:r>
        <w:rPr>
          <w:rFonts w:ascii="Times New Roman;Times;serif" w:hAnsi="Times New Roman;Times;serif"/>
          <w:color w:val="000000"/>
          <w:sz w:val="20"/>
        </w:rPr>
        <w:t>4.5 </w:t>
      </w:r>
      <w:r>
        <w:rPr>
          <w:rFonts w:ascii="Times New Roman;Times;serif" w:hAnsi="Times New Roman;Times;serif"/>
          <w:color w:val="000000"/>
          <w:sz w:val="20"/>
          <w:u w:val="single"/>
        </w:rPr>
        <w:t>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Times;serif" w:hAnsi="Times New Roman;Times;serif"/>
          <w:color w:val="000000"/>
          <w:sz w:val="20"/>
          <w:u w:val="single"/>
        </w:rPr>
        <w:t>Acquiror SEC Reports</w:t>
      </w:r>
      <w:r>
        <w:rPr>
          <w:rFonts w:ascii="Times New Roman;Times;serif" w:hAnsi="Times New Roman;Times;serif"/>
          <w:color w:val="000000"/>
          <w:sz w:val="20"/>
        </w:rPr>
        <w:t xml:space="preserve">”),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 </w:t>
      </w:r>
    </w:p>
    <w:p>
      <w:pPr>
        <w:pStyle w:val="TextBody"/>
        <w:bidi w:val="0"/>
        <w:spacing w:before="170" w:after="283"/>
        <w:ind w:left="0" w:right="0" w:firstLine="400"/>
        <w:jc w:val="left"/>
        <w:rPr>
          <w:rFonts w:ascii="Times New Roman;Times;serif" w:hAnsi="Times New Roman;Times;serif"/>
          <w:color w:val="000000"/>
          <w:sz w:val="20"/>
        </w:rPr>
      </w:pPr>
      <w:bookmarkStart w:id="348" w:name="tANXAS46"/>
      <w:bookmarkEnd w:id="348"/>
      <w:r>
        <w:rPr>
          <w:rFonts w:ascii="Times New Roman;Times;serif" w:hAnsi="Times New Roman;Times;serif"/>
          <w:color w:val="000000"/>
          <w:sz w:val="20"/>
        </w:rPr>
        <w:t>4.6 </w:t>
      </w:r>
      <w:r>
        <w:rPr>
          <w:rFonts w:ascii="Times New Roman;Times;serif" w:hAnsi="Times New Roman;Times;serif"/>
          <w:color w:val="000000"/>
          <w:sz w:val="20"/>
          <w:u w:val="single"/>
        </w:rPr>
        <w:t>Acquiror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Times;serif" w:hAnsi="Times New Roman;Times;serif"/>
          <w:color w:val="000000"/>
          <w:sz w:val="20"/>
          <w:u w:val="single"/>
        </w:rPr>
        <w:t>Acquiror Statement of Assets and Liabilities</w:t>
      </w:r>
      <w:r>
        <w:rPr>
          <w:rFonts w:ascii="Times New Roman;Times;serif" w:hAnsi="Times New Roman;Times;serif"/>
          <w:color w:val="000000"/>
          <w:sz w:val="20"/>
        </w:rPr>
        <w:t xml:space="preserve">”),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77966x1_n14_300-annexa_pg22"/>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(g) Acquiror has in all material respects: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7966x1_n14_300-annexa_pg23"/>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fair value of Acquiror’s investments as of December 31, 2025 (i) were determined in accordance with ASC Topic 820 (Fair Value Measurement) and (ii) reflect a reasonable estimate of the fair value of such investments as determined in good faith, after due inquiry, by the Acquiror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 </w:t>
      </w:r>
    </w:p>
    <w:p>
      <w:pPr>
        <w:pStyle w:val="TextBody"/>
        <w:bidi w:val="0"/>
        <w:spacing w:before="120" w:after="283"/>
        <w:ind w:left="0" w:right="0" w:firstLine="400"/>
        <w:jc w:val="both"/>
        <w:rPr>
          <w:rFonts w:ascii="Times New Roman;Times;serif" w:hAnsi="Times New Roman;Times;serif"/>
          <w:color w:val="000000"/>
          <w:sz w:val="20"/>
        </w:rPr>
      </w:pPr>
      <w:bookmarkStart w:id="351" w:name="tANXAS47"/>
      <w:bookmarkEnd w:id="351"/>
      <w:r>
        <w:rPr>
          <w:rFonts w:ascii="Times New Roman;Times;serif" w:hAnsi="Times New Roman;Times;serif"/>
          <w:color w:val="000000"/>
          <w:sz w:val="20"/>
        </w:rPr>
        <w:t>4.7 </w:t>
      </w:r>
      <w:r>
        <w:rPr>
          <w:rFonts w:ascii="Times New Roman;Times;serif" w:hAnsi="Times New Roman;Times;serif"/>
          <w:color w:val="000000"/>
          <w:sz w:val="20"/>
          <w:u w:val="single"/>
        </w:rPr>
        <w:t>Broker’s Fees</w:t>
      </w:r>
      <w:r>
        <w:rPr>
          <w:rFonts w:ascii="Times New Roman;Times;serif" w:hAnsi="Times New Roman;Times;serif"/>
          <w:color w:val="000000"/>
          <w:sz w:val="20"/>
        </w:rPr>
        <w:t xml:space="preserve">.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 </w:t>
      </w:r>
    </w:p>
    <w:p>
      <w:pPr>
        <w:pStyle w:val="TextBody"/>
        <w:bidi w:val="0"/>
        <w:spacing w:before="120" w:after="283"/>
        <w:ind w:left="0" w:right="0" w:firstLine="400"/>
        <w:jc w:val="both"/>
        <w:rPr>
          <w:rFonts w:ascii="Times New Roman;Times;serif" w:hAnsi="Times New Roman;Times;serif"/>
          <w:color w:val="000000"/>
          <w:sz w:val="20"/>
        </w:rPr>
      </w:pPr>
      <w:bookmarkStart w:id="352" w:name="tANXAS48"/>
      <w:bookmarkEnd w:id="352"/>
      <w:r>
        <w:rPr>
          <w:rFonts w:ascii="Times New Roman;Times;serif" w:hAnsi="Times New Roman;Times;serif"/>
          <w:color w:val="000000"/>
          <w:sz w:val="20"/>
        </w:rPr>
        <w:t>4.8 </w:t>
      </w:r>
      <w:r>
        <w:rPr>
          <w:rFonts w:ascii="Times New Roman;Times;serif" w:hAnsi="Times New Roman;Times;serif"/>
          <w:color w:val="000000"/>
          <w:sz w:val="20"/>
          <w:u w:val="single"/>
        </w:rPr>
        <w:t>Absence of Changes or Events</w:t>
      </w:r>
      <w:r>
        <w:rPr>
          <w:rFonts w:ascii="Times New Roman;Times;serif" w:hAnsi="Times New Roman;Times;serif"/>
          <w:color w:val="000000"/>
          <w:sz w:val="20"/>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53" w:name="tANXAS49"/>
      <w:bookmarkEnd w:id="353"/>
      <w:r>
        <w:rPr>
          <w:rFonts w:ascii="Times New Roman;Times;serif" w:hAnsi="Times New Roman;Times;serif"/>
          <w:color w:val="000000"/>
          <w:sz w:val="20"/>
        </w:rPr>
        <w:t>4.9 </w:t>
      </w:r>
      <w:r>
        <w:rPr>
          <w:rFonts w:ascii="Times New Roman;Times;serif" w:hAnsi="Times New Roman;Times;serif"/>
          <w:color w:val="000000"/>
          <w:sz w:val="20"/>
          <w:u w:val="single"/>
        </w:rPr>
        <w:t>Compliance with Applicable Law; Permits</w:t>
      </w:r>
      <w:r>
        <w:rPr>
          <w:rFonts w:ascii="Times New Roman;Times;serif" w:hAnsi="Times New Roman;Times;serif"/>
          <w:color w:val="000000"/>
          <w:sz w:val="20"/>
        </w:rPr>
        <w:t xml:space="preserve">. Except as otherwise set forth on Section 4.9 of the Acquiror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(b) Acquiror has maintained at all times a majority of directors that are not “interested persons,” as defined in Section 2(a)(19) of the Investment Company Act, in accordance with Section 56(a)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(d) Acquiror is in compliance, and since it commenced operations, has complied with its investment policies and restrictions and portfolio valuation methods, if any, as such policies and restrictions have been set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77966x1_n14_300-annexa_pg24"/>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(f) Acquiror and each of its Consolidated Subsidiaries has at all times maintained asset coverage with respect to its senior securities in compliance with Section 61 of the Investment Company Act and the applicable asset coverage requirements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(h) Acquiror and each of its Consolidated Subsidiaries have complied with the approval requirements in respect of the investment advisory agreement with its investment advisor, as set forth in Section 15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(i) Acquiror and each of its Consolidated Subsidiaries have maintained at all times the fidelity bond coverage required under Rule 17g-1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(j) Acquiror and each of its Consolidated Subsidiaries have maintained at all times a qualified custodian, as defined in Section 26(a)(1) of the Investment Company Act, to hold its securities and other investments in compliance with Section 17(f)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(k) Acquiror and each of its Consolidated Subsidiaries have complied with the approval requirements in respect of their auditors, as set forth in Section 32(a) of the Investment Company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 </w:t>
      </w:r>
    </w:p>
    <w:p>
      <w:pPr>
        <w:pStyle w:val="TextBody"/>
        <w:bidi w:val="0"/>
        <w:spacing w:before="120" w:after="283"/>
        <w:ind w:left="0" w:right="0" w:firstLine="400"/>
        <w:jc w:val="both"/>
        <w:rPr>
          <w:rFonts w:ascii="Times New Roman;Times;serif" w:hAnsi="Times New Roman;Times;serif"/>
          <w:color w:val="000000"/>
          <w:sz w:val="20"/>
        </w:rPr>
      </w:pPr>
      <w:bookmarkStart w:id="355" w:name="tANXAS410"/>
      <w:bookmarkEnd w:id="355"/>
      <w:r>
        <w:rPr>
          <w:rFonts w:ascii="Times New Roman;Times;serif" w:hAnsi="Times New Roman;Times;serif"/>
          <w:color w:val="000000"/>
          <w:sz w:val="20"/>
        </w:rPr>
        <w:t>4.10 </w:t>
      </w:r>
      <w:r>
        <w:rPr>
          <w:rFonts w:ascii="Times New Roman;Times;serif" w:hAnsi="Times New Roman;Times;serif"/>
          <w:color w:val="000000"/>
          <w:sz w:val="20"/>
          <w:u w:val="single"/>
        </w:rPr>
        <w:t>Acquiror Information</w:t>
      </w:r>
      <w:r>
        <w:rPr>
          <w:rFonts w:ascii="Times New Roman;Times;serif" w:hAnsi="Times New Roman;Times;serif"/>
          <w:color w:val="000000"/>
          <w:sz w:val="20"/>
        </w:rPr>
        <w:t xml:space="preserve">.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77966x1_n14_300-annexa_pg25"/>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 </w:t>
      </w:r>
    </w:p>
    <w:p>
      <w:pPr>
        <w:pStyle w:val="TextBody"/>
        <w:bidi w:val="0"/>
        <w:spacing w:before="170" w:after="283"/>
        <w:ind w:left="0" w:right="0" w:firstLine="400"/>
        <w:jc w:val="left"/>
        <w:rPr>
          <w:rFonts w:ascii="Times New Roman;Times;serif" w:hAnsi="Times New Roman;Times;serif"/>
          <w:color w:val="000000"/>
          <w:sz w:val="20"/>
        </w:rPr>
      </w:pPr>
      <w:bookmarkStart w:id="357" w:name="tANXAS411"/>
      <w:bookmarkEnd w:id="357"/>
      <w:r>
        <w:rPr>
          <w:rFonts w:ascii="Times New Roman;Times;serif" w:hAnsi="Times New Roman;Times;serif"/>
          <w:color w:val="000000"/>
          <w:sz w:val="20"/>
        </w:rPr>
        <w:t>4.11 </w:t>
      </w:r>
      <w:r>
        <w:rPr>
          <w:rFonts w:ascii="Times New Roman;Times;serif" w:hAnsi="Times New Roman;Times;serif"/>
          <w:color w:val="000000"/>
          <w:sz w:val="20"/>
          <w:u w:val="single"/>
        </w:rPr>
        <w:t>Taxes and Tax Returns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77966x1_n14_300-annexa_pg26"/>
        <w:bookmarkEnd w:id="3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(i) For each taxable year since Acquiror’s election to be treated as a RIC, Acquiror has satisfied the 90% gross income test set forth in Section 851(b)(2)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(k) For each taxable year since Acquiror’s election to be treated as a RIC, Acquiror has distributed dividends in an amount sufficient to satisfy the distribution requirements of Section 852(a)(1)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(m) Acquiror is not aware of any fact or circumstance that could reasonably be expected to prevent the Merger from qualifying as a “reorganization” within the meaning of Section 368(a)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(n) Acquiror has no “earnings and profits” for U.S. federal income Tax purposes described in Section 852(a)(2)(B)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(o) Acquiror is not now and will not be subject to corporate-level income taxation on the sale, transfer or other disposition of its assets currently held as a result of the application of Section 337(d) of the Code or the Treasury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(q) Neither the Acquiror nor any of its Consolidated Subsidiaries has, or has ever had, a permanent establishment in any country other than the United States.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(r) Neither Acquiror nor any of its Consolidated Subsidiaries has requested a private letter ruling from the IRS or comparable rulings from other taxing authorities.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(t) Neither Acquiror nor any of its Consolidated Subsidiaries has ever been a member of a consolidated, combined or unitary Tax group (other than such a group the common parent of which is Acquiror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(u) There are no material Liens for Taxes (other than Taxes not yet due and payable) upon any of the assets of Acquiror or any of its Consolidated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7966x1_n14_300-annexa_pg27"/>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60" w:name="tANXAS412"/>
      <w:bookmarkEnd w:id="360"/>
      <w:r>
        <w:rPr>
          <w:rFonts w:ascii="Times New Roman;Times;serif" w:hAnsi="Times New Roman;Times;serif"/>
          <w:color w:val="000000"/>
          <w:sz w:val="20"/>
        </w:rPr>
        <w:t>4.12 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61" w:name="tANXAS413"/>
      <w:bookmarkEnd w:id="361"/>
      <w:r>
        <w:rPr>
          <w:rFonts w:ascii="Times New Roman;Times;serif" w:hAnsi="Times New Roman;Times;serif"/>
          <w:color w:val="000000"/>
          <w:sz w:val="20"/>
        </w:rPr>
        <w:t>4.13 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Neither Acquiror nor any of its Consolidated Subsidiaries has (i) any employees or (ii) any Employee Benefit Plans. </w:t>
      </w:r>
    </w:p>
    <w:p>
      <w:pPr>
        <w:pStyle w:val="TextBody"/>
        <w:bidi w:val="0"/>
        <w:spacing w:before="170" w:after="283"/>
        <w:ind w:left="0" w:right="0" w:firstLine="400"/>
        <w:jc w:val="left"/>
        <w:rPr>
          <w:rFonts w:ascii="Times New Roman;Times;serif" w:hAnsi="Times New Roman;Times;serif"/>
          <w:color w:val="000000"/>
          <w:sz w:val="20"/>
        </w:rPr>
      </w:pPr>
      <w:bookmarkStart w:id="362" w:name="tANXAS414"/>
      <w:bookmarkEnd w:id="362"/>
      <w:r>
        <w:rPr>
          <w:rFonts w:ascii="Times New Roman;Times;serif" w:hAnsi="Times New Roman;Times;serif"/>
          <w:color w:val="000000"/>
          <w:sz w:val="20"/>
        </w:rPr>
        <w:t>4.14 </w:t>
      </w:r>
      <w:r>
        <w:rPr>
          <w:rFonts w:ascii="Times New Roman;Times;serif" w:hAnsi="Times New Roman;Times;serif"/>
          <w:color w:val="000000"/>
          <w:sz w:val="20"/>
          <w:u w:val="single"/>
        </w:rPr>
        <w:t>Certain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(a) Acquiror has Previously Disclosed a complete and accurate list of, and true and complete copies have been delivered or made available (including via EDGAR) to the Company of, all Contracts (collectively, the “</w:t>
      </w:r>
      <w:r>
        <w:rPr>
          <w:rFonts w:ascii="Times New Roman;Times;serif" w:hAnsi="Times New Roman;Times;serif"/>
          <w:color w:val="000000"/>
          <w:sz w:val="20"/>
          <w:u w:val="single"/>
        </w:rPr>
        <w:t>Acquiror Material Contracts</w:t>
      </w:r>
      <w:r>
        <w:rPr>
          <w:rFonts w:ascii="Times New Roman;Times;serif" w:hAnsi="Times New Roman;Times;serif"/>
          <w:color w:val="000000"/>
          <w:sz w:val="20"/>
        </w:rPr>
        <w:t xml:space="preserve">”)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Contract that is a “material contract” within the meaning of Item 601(b)(10) of the SEC’s Regulation S-K or that is material to Acquiror or its financial condition or results of operations;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that obligates Acquiror or any of its Consolidated Subsidiaries to conduct any business that is material to Acquiror and its Consolidated Subsidiaries, taken as a whole, on an exclusive basis with any third party;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Contract with a Governmental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77966x1_n14_300-annexa_pg28"/>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64" w:name="tANXAS415"/>
      <w:bookmarkEnd w:id="364"/>
      <w:r>
        <w:rPr>
          <w:rFonts w:ascii="Times New Roman;Times;serif" w:hAnsi="Times New Roman;Times;serif"/>
          <w:color w:val="000000"/>
          <w:sz w:val="20"/>
        </w:rPr>
        <w:t>4.15 </w:t>
      </w:r>
      <w:r>
        <w:rPr>
          <w:rFonts w:ascii="Times New Roman;Times;serif" w:hAnsi="Times New Roman;Times;serif"/>
          <w:color w:val="000000"/>
          <w:sz w:val="20"/>
          <w:u w:val="single"/>
        </w:rPr>
        <w:t>Insurance Coverage</w:t>
      </w:r>
      <w:r>
        <w:rPr>
          <w:rFonts w:ascii="Times New Roman;Times;serif" w:hAnsi="Times New Roman;Times;serif"/>
          <w:color w:val="000000"/>
          <w:sz w:val="20"/>
        </w:rPr>
        <w:t>. All material insurance policies maintained by Acquiror or any of its Consolidated Subsidiaries and that name Acquiror or any of its Consolidated Subsidiaries as an insured (each, a “</w:t>
      </w:r>
      <w:r>
        <w:rPr>
          <w:rFonts w:ascii="Times New Roman;Times;serif" w:hAnsi="Times New Roman;Times;serif"/>
          <w:color w:val="000000"/>
          <w:sz w:val="20"/>
          <w:u w:val="single"/>
        </w:rPr>
        <w:t>Acquiror Insurance Policy</w:t>
      </w:r>
      <w:r>
        <w:rPr>
          <w:rFonts w:ascii="Times New Roman;Times;serif" w:hAnsi="Times New Roman;Times;serif"/>
          <w:color w:val="000000"/>
          <w:sz w:val="20"/>
        </w:rPr>
        <w:t xml:space="preserve">”),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 </w:t>
      </w:r>
    </w:p>
    <w:p>
      <w:pPr>
        <w:pStyle w:val="TextBody"/>
        <w:bidi w:val="0"/>
        <w:spacing w:before="120" w:after="283"/>
        <w:ind w:left="0" w:right="0" w:firstLine="400"/>
        <w:jc w:val="both"/>
        <w:rPr>
          <w:rFonts w:ascii="Times New Roman;Times;serif" w:hAnsi="Times New Roman;Times;serif"/>
          <w:color w:val="000000"/>
          <w:sz w:val="20"/>
        </w:rPr>
      </w:pPr>
      <w:bookmarkStart w:id="365" w:name="tANXAS416"/>
      <w:bookmarkEnd w:id="365"/>
      <w:r>
        <w:rPr>
          <w:rFonts w:ascii="Times New Roman;Times;serif" w:hAnsi="Times New Roman;Times;serif"/>
          <w:color w:val="000000"/>
          <w:sz w:val="20"/>
        </w:rPr>
        <w:t>4.16 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Times;serif" w:hAnsi="Times New Roman;Times;serif"/>
          <w:color w:val="000000"/>
          <w:sz w:val="20"/>
          <w:u w:val="single"/>
        </w:rPr>
        <w:t>Acquiror Intellectual Property Rights</w:t>
      </w:r>
      <w:r>
        <w:rPr>
          <w:rFonts w:ascii="Times New Roman;Times;serif" w:hAnsi="Times New Roman;Times;serif"/>
          <w:color w:val="000000"/>
          <w:sz w:val="20"/>
        </w:rPr>
        <w:t xml:space="preserve">”),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366" w:name="tANXAS417"/>
      <w:bookmarkEnd w:id="366"/>
      <w:r>
        <w:rPr>
          <w:rFonts w:ascii="Times New Roman;Times;serif" w:hAnsi="Times New Roman;Times;serif"/>
          <w:color w:val="000000"/>
          <w:sz w:val="20"/>
        </w:rPr>
        <w:t>4.17 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Except as would not, individually or in the aggregate, reasonably be expected to have a Material Adverse Effect with respect to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are no Proceedings of any kind, pending or, to the knowledge of Acquiror, threatened, against Acquiror or any of its Consolidated Subsidiaries, arising under any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are no Orders by or with any Governmental Entity, imposing any liability or obligation on Acquiror or any of its Consolidated Subsidiaries under or in respect of any Environmental Law;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and have been no Hazardous Substances or other conditions related thereto at any property owned or premises leased by Acquiror or any of its Consolidated Subsidiaries during the period of Acquiror’s or its Consolidated Subsidiary’s ownership or lease.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 </w:t>
      </w:r>
    </w:p>
    <w:p>
      <w:pPr>
        <w:pStyle w:val="TextBody"/>
        <w:bidi w:val="0"/>
        <w:spacing w:before="170" w:after="283"/>
        <w:ind w:left="0" w:right="0" w:firstLine="400"/>
        <w:jc w:val="both"/>
        <w:rPr>
          <w:rFonts w:ascii="Times New Roman;Times;serif" w:hAnsi="Times New Roman;Times;serif"/>
          <w:color w:val="000000"/>
          <w:sz w:val="20"/>
        </w:rPr>
      </w:pPr>
      <w:bookmarkStart w:id="367" w:name="tANXAS418"/>
      <w:bookmarkEnd w:id="367"/>
      <w:r>
        <w:rPr>
          <w:rFonts w:ascii="Times New Roman;Times;serif" w:hAnsi="Times New Roman;Times;serif"/>
          <w:color w:val="000000"/>
          <w:sz w:val="20"/>
        </w:rPr>
        <w:t>4.18 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Neither Acquiror nor any of its Consolidated Subsidiaries owns or leases any real property. </w:t>
      </w:r>
    </w:p>
    <w:p>
      <w:pPr>
        <w:pStyle w:val="TextBody"/>
        <w:bidi w:val="0"/>
        <w:spacing w:before="120" w:after="283"/>
        <w:ind w:left="0" w:right="0" w:firstLine="400"/>
        <w:jc w:val="both"/>
        <w:rPr>
          <w:rFonts w:ascii="Times New Roman;Times;serif" w:hAnsi="Times New Roman;Times;serif"/>
          <w:color w:val="000000"/>
          <w:sz w:val="20"/>
        </w:rPr>
      </w:pPr>
      <w:bookmarkStart w:id="368" w:name="tANXAS419"/>
      <w:bookmarkEnd w:id="368"/>
      <w:r>
        <w:rPr>
          <w:rFonts w:ascii="Times New Roman;Times;serif" w:hAnsi="Times New Roman;Times;serif"/>
          <w:color w:val="000000"/>
          <w:sz w:val="20"/>
        </w:rPr>
        <w:t>4.19 </w:t>
      </w:r>
      <w:r>
        <w:rPr>
          <w:rFonts w:ascii="Times New Roman;Times;serif" w:hAnsi="Times New Roman;Times;serif"/>
          <w:color w:val="000000"/>
          <w:sz w:val="20"/>
          <w:u w:val="single"/>
        </w:rPr>
        <w:t>Investment Assets</w:t>
      </w:r>
      <w:r>
        <w:rPr>
          <w:rFonts w:ascii="Times New Roman;Times;serif" w:hAnsi="Times New Roman;Times;serif"/>
          <w:color w:val="000000"/>
          <w:sz w:val="20"/>
        </w:rPr>
        <w:t xml:space="preserve">.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77966x1_n14_300-annexa_pg29"/>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value of Acquiror’s total assets (other than assets described in Section 55(a)(7) of the Investment Company Act). Acquiror has at all times made available significant managerial assistance, as defined in Section 2(a)(47) of the Investment Company Act, to the issuers of securities of eligible portfolio companies in which the Acquiror has made qualifying investments. </w:t>
      </w:r>
    </w:p>
    <w:p>
      <w:pPr>
        <w:pStyle w:val="TextBody"/>
        <w:bidi w:val="0"/>
        <w:spacing w:before="120" w:after="283"/>
        <w:ind w:left="0" w:right="0" w:firstLine="400"/>
        <w:jc w:val="both"/>
        <w:rPr>
          <w:rFonts w:ascii="Times New Roman;Times;serif" w:hAnsi="Times New Roman;Times;serif"/>
          <w:color w:val="000000"/>
          <w:sz w:val="20"/>
        </w:rPr>
      </w:pPr>
      <w:bookmarkStart w:id="370" w:name="tANXAS420"/>
      <w:bookmarkEnd w:id="370"/>
      <w:r>
        <w:rPr>
          <w:rFonts w:ascii="Times New Roman;Times;serif" w:hAnsi="Times New Roman;Times;serif"/>
          <w:color w:val="000000"/>
          <w:sz w:val="20"/>
        </w:rPr>
        <w:t>4.20 </w:t>
      </w:r>
      <w:r>
        <w:rPr>
          <w:rFonts w:ascii="Times New Roman;Times;serif" w:hAnsi="Times New Roman;Times;serif"/>
          <w:color w:val="000000"/>
          <w:sz w:val="20"/>
          <w:u w:val="single"/>
        </w:rPr>
        <w:t>State Takeover Laws</w:t>
      </w:r>
      <w:r>
        <w:rPr>
          <w:rFonts w:ascii="Times New Roman;Times;serif" w:hAnsi="Times New Roman;Times;serif"/>
          <w:color w:val="000000"/>
          <w:sz w:val="20"/>
        </w:rPr>
        <w:t xml:space="preserve">. No restrictions on “business combinations” set forth in any Takeover Statutes are applicable to this Agreement, the Merger or the other Transactions. </w:t>
      </w:r>
    </w:p>
    <w:p>
      <w:pPr>
        <w:pStyle w:val="TextBody"/>
        <w:bidi w:val="0"/>
        <w:spacing w:before="120" w:after="283"/>
        <w:ind w:left="0" w:right="0" w:firstLine="400"/>
        <w:jc w:val="both"/>
        <w:rPr>
          <w:rFonts w:ascii="Times New Roman;Times;serif" w:hAnsi="Times New Roman;Times;serif"/>
          <w:color w:val="000000"/>
          <w:sz w:val="20"/>
        </w:rPr>
      </w:pPr>
      <w:bookmarkStart w:id="371" w:name="tANXAS421"/>
      <w:bookmarkEnd w:id="371"/>
      <w:r>
        <w:rPr>
          <w:rFonts w:ascii="Times New Roman;Times;serif" w:hAnsi="Times New Roman;Times;serif"/>
          <w:color w:val="000000"/>
          <w:sz w:val="20"/>
        </w:rPr>
        <w:t>4.21 </w:t>
      </w:r>
      <w:r>
        <w:rPr>
          <w:rFonts w:ascii="Times New Roman;Times;serif" w:hAnsi="Times New Roman;Times;serif"/>
          <w:color w:val="000000"/>
          <w:sz w:val="20"/>
          <w:u w:val="single"/>
        </w:rPr>
        <w:t>Valuation</w:t>
      </w:r>
      <w:r>
        <w:rPr>
          <w:rFonts w:ascii="Times New Roman;Times;serif" w:hAnsi="Times New Roman;Times;serif"/>
          <w:color w:val="000000"/>
          <w:sz w:val="20"/>
        </w:rPr>
        <w:t xml:space="preserve">. The value of each investment asset owned by Acquiror that is used in connection with the computations made by Acquiror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the valuation principles, assumptions and methodologies, and applying the categories of adjustments to net asset value, applicable to Acquiror as set forth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no exceptions to such valuation policies and procedures have been or will be permitted in valuing such assets in connection with the computations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for purposes of this Agreement. The value of all assets owned by Acquiror other than investment assets that are used in connection with the computations made by Acquiror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GAAP. All third party valuations shall have been conducted by Stout Risius Ross, LLC. </w:t>
      </w:r>
    </w:p>
    <w:p>
      <w:pPr>
        <w:pStyle w:val="TextBody"/>
        <w:bidi w:val="0"/>
        <w:spacing w:before="120" w:after="283"/>
        <w:ind w:left="0" w:right="0" w:firstLine="400"/>
        <w:jc w:val="both"/>
        <w:rPr>
          <w:rFonts w:ascii="Times New Roman;Times;serif" w:hAnsi="Times New Roman;Times;serif"/>
          <w:color w:val="000000"/>
          <w:sz w:val="20"/>
        </w:rPr>
      </w:pPr>
      <w:bookmarkStart w:id="372" w:name="tANXAS422"/>
      <w:bookmarkEnd w:id="372"/>
      <w:r>
        <w:rPr>
          <w:rFonts w:ascii="Times New Roman;Times;serif" w:hAnsi="Times New Roman;Times;serif"/>
          <w:color w:val="000000"/>
          <w:sz w:val="20"/>
        </w:rPr>
        <w:t>4.22 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xml:space="preserve">.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 </w:t>
      </w:r>
    </w:p>
    <w:p>
      <w:pPr>
        <w:pStyle w:val="TextBody"/>
        <w:bidi w:val="0"/>
        <w:spacing w:before="300" w:after="283"/>
        <w:jc w:val="center"/>
        <w:rPr>
          <w:rFonts w:ascii="Times New Roman;Times;serif" w:hAnsi="Times New Roman;Times;serif"/>
          <w:b/>
          <w:color w:val="000000"/>
          <w:sz w:val="20"/>
        </w:rPr>
      </w:pPr>
      <w:bookmarkStart w:id="373" w:name="tANXAA5"/>
      <w:bookmarkEnd w:id="373"/>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ADVISERS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with respect to matters set forth in the Acquiror Adviser Disclosure Schedule or the Company Manager Disclosure Schedule, as applicable, each of the Acquiror Adviser and the Company Manager (each referred to herein as “</w:t>
      </w:r>
      <w:r>
        <w:rPr>
          <w:rFonts w:ascii="Times New Roman;Times;serif" w:hAnsi="Times New Roman;Times;serif"/>
          <w:color w:val="000000"/>
          <w:sz w:val="20"/>
          <w:u w:val="single"/>
        </w:rPr>
        <w:t>Adviser</w:t>
      </w:r>
      <w:r>
        <w:rPr>
          <w:rFonts w:ascii="Times New Roman;Times;serif" w:hAnsi="Times New Roman;Times;serif"/>
          <w:color w:val="000000"/>
          <w:sz w:val="20"/>
        </w:rPr>
        <w:t xml:space="preserve">”)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374" w:name="tANXAS51"/>
      <w:bookmarkEnd w:id="374"/>
      <w:r>
        <w:rPr>
          <w:rFonts w:ascii="Times New Roman;Times;serif" w:hAnsi="Times New Roman;Times;serif"/>
          <w:color w:val="000000"/>
          <w:sz w:val="20"/>
        </w:rPr>
        <w:t>5.1 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60" w:after="283"/>
        <w:ind w:left="0" w:right="0" w:firstLine="400"/>
        <w:jc w:val="left"/>
        <w:rPr>
          <w:rFonts w:ascii="Times New Roman;Times;serif" w:hAnsi="Times New Roman;Times;serif"/>
          <w:color w:val="000000"/>
          <w:sz w:val="20"/>
        </w:rPr>
      </w:pPr>
      <w:bookmarkStart w:id="375" w:name="tANXAS52"/>
      <w:bookmarkEnd w:id="375"/>
      <w:r>
        <w:rPr>
          <w:rFonts w:ascii="Times New Roman;Times;serif" w:hAnsi="Times New Roman;Times;serif"/>
          <w:color w:val="000000"/>
          <w:sz w:val="20"/>
        </w:rPr>
        <w:t>5.2 </w:t>
      </w:r>
      <w:r>
        <w:rPr>
          <w:rFonts w:ascii="Times New Roman;Times;serif" w:hAnsi="Times New Roman;Times;serif"/>
          <w:color w:val="000000"/>
          <w:sz w:val="20"/>
          <w:u w:val="single"/>
        </w:rPr>
        <w:t>Authority; No Violation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77966x1_n14_300-annexa_pg30"/>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0" w:right="0" w:firstLine="400"/>
        <w:jc w:val="both"/>
        <w:rPr>
          <w:rFonts w:ascii="Times New Roman;Times;serif" w:hAnsi="Times New Roman;Times;serif"/>
          <w:color w:val="000000"/>
          <w:sz w:val="20"/>
        </w:rPr>
      </w:pPr>
      <w:bookmarkStart w:id="377" w:name="tANXAS53"/>
      <w:bookmarkEnd w:id="377"/>
      <w:r>
        <w:rPr>
          <w:rFonts w:ascii="Times New Roman;Times;serif" w:hAnsi="Times New Roman;Times;serif"/>
          <w:color w:val="000000"/>
          <w:sz w:val="20"/>
        </w:rPr>
        <w:t>5.3 </w:t>
      </w:r>
      <w:r>
        <w:rPr>
          <w:rFonts w:ascii="Times New Roman;Times;serif" w:hAnsi="Times New Roman;Times;serif"/>
          <w:color w:val="000000"/>
          <w:sz w:val="20"/>
          <w:u w:val="single"/>
        </w:rPr>
        <w:t>Compliance with Applicable Law; Permits</w:t>
      </w:r>
      <w:r>
        <w:rPr>
          <w:rFonts w:ascii="Times New Roman;Times;serif" w:hAnsi="Times New Roman;Times;serif"/>
          <w:color w:val="000000"/>
          <w:sz w:val="20"/>
        </w:rPr>
        <w:t xml:space="preserve">. Except as otherwise set forth on Section 5.3 of the Acquiror Adviser Disclosure Schedule or the Company Manager Disclosure Schedule,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(e) During the period prior to the date of this Agreement that it has been the adviser to the Company or Acquiror, there has been no material adverse change in the operations, affairs or regulatory status of Adviser.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77966x1_n14_300-annexa_pg31"/>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79" w:name="tANXAS54"/>
      <w:bookmarkEnd w:id="379"/>
      <w:r>
        <w:rPr>
          <w:rFonts w:ascii="Times New Roman;Times;serif" w:hAnsi="Times New Roman;Times;serif"/>
          <w:color w:val="000000"/>
          <w:sz w:val="20"/>
        </w:rPr>
        <w:t>5.4 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w:t>
      </w:r>
    </w:p>
    <w:p>
      <w:pPr>
        <w:pStyle w:val="TextBody"/>
        <w:bidi w:val="0"/>
        <w:spacing w:before="120" w:after="283"/>
        <w:ind w:left="0" w:right="0" w:firstLine="400"/>
        <w:jc w:val="both"/>
        <w:rPr>
          <w:rFonts w:ascii="Times New Roman;Times;serif" w:hAnsi="Times New Roman;Times;serif"/>
          <w:color w:val="000000"/>
          <w:sz w:val="20"/>
        </w:rPr>
      </w:pPr>
      <w:bookmarkStart w:id="380" w:name="tANXAS55"/>
      <w:bookmarkEnd w:id="380"/>
      <w:r>
        <w:rPr>
          <w:rFonts w:ascii="Times New Roman;Times;serif" w:hAnsi="Times New Roman;Times;serif"/>
          <w:color w:val="000000"/>
          <w:sz w:val="20"/>
        </w:rPr>
        <w:t>5.5 </w:t>
      </w:r>
      <w:r>
        <w:rPr>
          <w:rFonts w:ascii="Times New Roman;Times;serif" w:hAnsi="Times New Roman;Times;serif"/>
          <w:color w:val="000000"/>
          <w:sz w:val="20"/>
          <w:u w:val="single"/>
        </w:rPr>
        <w:t>Valuation</w:t>
      </w:r>
      <w:r>
        <w:rPr>
          <w:rFonts w:ascii="Times New Roman;Times;serif" w:hAnsi="Times New Roman;Times;serif"/>
          <w:color w:val="000000"/>
          <w:sz w:val="20"/>
        </w:rPr>
        <w:t xml:space="preserve">. The value of each investment asset owned by Acquiror or the Company that is used in connection with the computations made by Adviser on behalf of the Acquiror or the Company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for purposes of this Agreement. The value of all assets owned by Acquiror other than investment assets that are used in connection with the computations made by Acquiror pursuant to </w:t>
      </w:r>
      <w:r>
        <w:rPr>
          <w:rFonts w:ascii="Times New Roman;Times;serif" w:hAnsi="Times New Roman;Times;serif"/>
          <w:color w:val="000000"/>
          <w:sz w:val="20"/>
          <w:u w:val="single"/>
        </w:rPr>
        <w:t xml:space="preserve">Section 2.6 </w:t>
      </w:r>
      <w:r>
        <w:rPr>
          <w:rFonts w:ascii="Times New Roman;Times;serif" w:hAnsi="Times New Roman;Times;serif"/>
          <w:color w:val="000000"/>
          <w:sz w:val="20"/>
        </w:rPr>
        <w:t xml:space="preserve">will be determined in accordance with GAAP. All third party valuations shall have been conducted by Stout Risius Ross, LLC. </w:t>
      </w:r>
    </w:p>
    <w:p>
      <w:pPr>
        <w:pStyle w:val="TextBody"/>
        <w:bidi w:val="0"/>
        <w:spacing w:before="120" w:after="283"/>
        <w:ind w:left="0" w:right="0" w:firstLine="400"/>
        <w:jc w:val="both"/>
        <w:rPr>
          <w:rFonts w:ascii="Times New Roman;Times;serif" w:hAnsi="Times New Roman;Times;serif"/>
          <w:color w:val="000000"/>
          <w:sz w:val="20"/>
        </w:rPr>
      </w:pPr>
      <w:bookmarkStart w:id="381" w:name="tANXAS56"/>
      <w:bookmarkEnd w:id="381"/>
      <w:r>
        <w:rPr>
          <w:rFonts w:ascii="Times New Roman;Times;serif" w:hAnsi="Times New Roman;Times;serif"/>
          <w:color w:val="000000"/>
          <w:sz w:val="20"/>
        </w:rPr>
        <w:t>5.6 </w:t>
      </w:r>
      <w:r>
        <w:rPr>
          <w:rFonts w:ascii="Times New Roman;Times;serif" w:hAnsi="Times New Roman;Times;serif"/>
          <w:color w:val="000000"/>
          <w:sz w:val="20"/>
          <w:u w:val="single"/>
        </w:rPr>
        <w:t>Adviser Information</w:t>
      </w:r>
      <w:r>
        <w:rPr>
          <w:rFonts w:ascii="Times New Roman;Times;serif" w:hAnsi="Times New Roman;Times;serif"/>
          <w:color w:val="000000"/>
          <w:sz w:val="20"/>
        </w:rPr>
        <w:t xml:space="preserve">.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 </w:t>
      </w:r>
    </w:p>
    <w:p>
      <w:pPr>
        <w:pStyle w:val="TextBody"/>
        <w:bidi w:val="0"/>
        <w:spacing w:before="120" w:after="283"/>
        <w:ind w:left="0" w:right="0" w:firstLine="400"/>
        <w:jc w:val="both"/>
        <w:rPr>
          <w:rFonts w:ascii="Times New Roman;Times;serif" w:hAnsi="Times New Roman;Times;serif"/>
          <w:color w:val="000000"/>
          <w:sz w:val="20"/>
        </w:rPr>
      </w:pPr>
      <w:bookmarkStart w:id="382" w:name="tANXAS57"/>
      <w:bookmarkEnd w:id="382"/>
      <w:r>
        <w:rPr>
          <w:rFonts w:ascii="Times New Roman;Times;serif" w:hAnsi="Times New Roman;Times;serif"/>
          <w:color w:val="000000"/>
          <w:sz w:val="20"/>
        </w:rPr>
        <w:t>5.7 </w:t>
      </w:r>
      <w:r>
        <w:rPr>
          <w:rFonts w:ascii="Times New Roman;Times;serif" w:hAnsi="Times New Roman;Times;serif"/>
          <w:color w:val="000000"/>
          <w:sz w:val="20"/>
          <w:u w:val="single"/>
        </w:rPr>
        <w:t>Financial Resources</w:t>
      </w:r>
      <w:r>
        <w:rPr>
          <w:rFonts w:ascii="Times New Roman;Times;serif" w:hAnsi="Times New Roman;Times;serif"/>
          <w:color w:val="000000"/>
          <w:sz w:val="20"/>
        </w:rPr>
        <w:t xml:space="preserve">. Adviser has the financial resources available to it necessary for the performance of its services and obligations as contemplated in the Registration Statement and the Joint Proxy Statement/Prospectus and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383" w:name="tANXAS58"/>
      <w:bookmarkEnd w:id="383"/>
      <w:r>
        <w:rPr>
          <w:rFonts w:ascii="Times New Roman;Times;serif" w:hAnsi="Times New Roman;Times;serif"/>
          <w:color w:val="000000"/>
          <w:sz w:val="20"/>
        </w:rPr>
        <w:t>5.8 </w:t>
      </w:r>
      <w:r>
        <w:rPr>
          <w:rFonts w:ascii="Times New Roman;Times;serif" w:hAnsi="Times New Roman;Times;serif"/>
          <w:color w:val="000000"/>
          <w:sz w:val="20"/>
          <w:u w:val="single"/>
        </w:rPr>
        <w:t>Acquiror or Company Representations and Warranties</w:t>
      </w:r>
      <w:r>
        <w:rPr>
          <w:rFonts w:ascii="Times New Roman;Times;serif" w:hAnsi="Times New Roman;Times;serif"/>
          <w:color w:val="000000"/>
          <w:sz w:val="20"/>
        </w:rPr>
        <w:t xml:space="preserve">. To the knowledge of Adviser, as of the date hereof, the representations and warranties made by the Company in Article III or the representations and warranties made by Acquiror in Article IV, as applicable, are true and correct in all material respects. </w:t>
      </w:r>
    </w:p>
    <w:p>
      <w:pPr>
        <w:pStyle w:val="TextBody"/>
        <w:bidi w:val="0"/>
        <w:spacing w:before="240" w:after="283"/>
        <w:jc w:val="center"/>
        <w:rPr>
          <w:rFonts w:ascii="Times New Roman;Times;serif" w:hAnsi="Times New Roman;Times;serif"/>
          <w:b/>
          <w:color w:val="000000"/>
          <w:sz w:val="20"/>
        </w:rPr>
      </w:pPr>
      <w:bookmarkStart w:id="384" w:name="tANXAA6"/>
      <w:bookmarkEnd w:id="384"/>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RELATING TO CONDUCT OF BUSINESS </w:t>
      </w:r>
    </w:p>
    <w:p>
      <w:pPr>
        <w:pStyle w:val="TextBody"/>
        <w:bidi w:val="0"/>
        <w:spacing w:before="120" w:after="283"/>
        <w:ind w:left="0" w:right="0" w:firstLine="400"/>
        <w:jc w:val="both"/>
        <w:rPr>
          <w:rFonts w:ascii="Times New Roman;Times;serif" w:hAnsi="Times New Roman;Times;serif"/>
          <w:color w:val="000000"/>
          <w:sz w:val="20"/>
        </w:rPr>
      </w:pPr>
      <w:bookmarkStart w:id="385" w:name="tANXAS61"/>
      <w:bookmarkEnd w:id="385"/>
      <w:r>
        <w:rPr>
          <w:rFonts w:ascii="Times New Roman;Times;serif" w:hAnsi="Times New Roman;Times;serif"/>
          <w:color w:val="000000"/>
          <w:sz w:val="20"/>
        </w:rPr>
        <w:t>6.1 </w:t>
      </w:r>
      <w:r>
        <w:rPr>
          <w:rFonts w:ascii="Times New Roman;Times;serif" w:hAnsi="Times New Roman;Times;serif"/>
          <w:color w:val="000000"/>
          <w:sz w:val="20"/>
          <w:u w:val="single"/>
        </w:rPr>
        <w:t>Conduct of Businesses Prior to the Merger Effective Time</w:t>
      </w:r>
      <w:r>
        <w:rPr>
          <w:rFonts w:ascii="Times New Roman;Times;serif" w:hAnsi="Times New Roman;Times;serif"/>
          <w:color w:val="000000"/>
          <w:sz w:val="20"/>
        </w:rPr>
        <w:t xml:space="preserve">. During the period from the date of this Agreement until the earlier of the Merger Effective Time and the date, if any, on which this Agreement is terminated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 </w:t>
      </w:r>
    </w:p>
    <w:p>
      <w:pPr>
        <w:pStyle w:val="TextBody"/>
        <w:bidi w:val="0"/>
        <w:spacing w:before="120" w:after="283"/>
        <w:ind w:left="0" w:right="0" w:firstLine="400"/>
        <w:jc w:val="both"/>
        <w:rPr>
          <w:rFonts w:ascii="Times New Roman;Times;serif" w:hAnsi="Times New Roman;Times;serif"/>
          <w:color w:val="000000"/>
          <w:sz w:val="20"/>
        </w:rPr>
      </w:pPr>
      <w:bookmarkStart w:id="386" w:name="tANXAS62"/>
      <w:bookmarkEnd w:id="386"/>
      <w:r>
        <w:rPr>
          <w:rFonts w:ascii="Times New Roman;Times;serif" w:hAnsi="Times New Roman;Times;serif"/>
          <w:color w:val="000000"/>
          <w:sz w:val="20"/>
        </w:rPr>
        <w:t>6.2 </w:t>
      </w:r>
      <w:r>
        <w:rPr>
          <w:rFonts w:ascii="Times New Roman;Times;serif" w:hAnsi="Times New Roman;Times;serif"/>
          <w:color w:val="000000"/>
          <w:sz w:val="20"/>
          <w:u w:val="single"/>
        </w:rPr>
        <w:t>Forbearances</w:t>
      </w:r>
      <w:r>
        <w:rPr>
          <w:rFonts w:ascii="Times New Roman;Times;serif" w:hAnsi="Times New Roman;Times;serif"/>
          <w:color w:val="000000"/>
          <w:sz w:val="20"/>
        </w:rPr>
        <w:t xml:space="preserve">. During the period from the date of this Agreement until the earlier of the Merger Effective Time and the date, if any, on which this Agreement is terminated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(a) Other than pursuant to such party’s dividend reinvestment plan as in effect as of the date of this Agreement or pursuant to capital calls with respect to any Company subscription agreements, issue, deliver, sell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77966x1_n14_300-annexa_pg32"/>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(e) Amend the Company Charter, Company Bylaws, the Acquiror Charter, the Acquiror Bylaws or other governing documents or similar governing documents of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(f) Implement or adopt any material change in its Tax or financial accounting principles, practices or methods, other than as required by applicable Law, GAAP, the SEC or applicable regulatory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(g) Hire any employees; establish, become a party to or commit to adopt any Employee Benefit Plan other than the Company Incentive Plan; or amend, modify or waive any provision of the Company Incentive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however, that the foregoing shall not preclude the Company from declaring or paying any Tax Dividend on or before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(j) Make or agree to make any new capital expenditure other than obligations to fund commitments to portfolio companies entered into in the ordinary course of business or in an aggregate amount not in excess of $500,000.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(l) Take any action, or knowingly fail to take any action, which action or failure to act is reasonably likely to cause such party to fail to qualify as a RIC or a REIT,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8" w:name="ny20077966x1_n14_300-annexa_pg33"/>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(o) Other than in the ordinary course of business consistent with past practice and such party’s investment objectives, terminate, cancel, renew or agree to any material amendment of, change in or waiver under any Company Material Contract or Acquiror Material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(s) Agree to take, make any commitment to take, or adopt any resolutions of the Company Board or the Acquiror Board, as applicable, authorizing, any of the actions prohibited by this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w:t>
      </w:r>
    </w:p>
    <w:p>
      <w:pPr>
        <w:pStyle w:val="TextBody"/>
        <w:bidi w:val="0"/>
        <w:spacing w:before="300" w:after="283"/>
        <w:jc w:val="center"/>
        <w:rPr>
          <w:rFonts w:ascii="Times New Roman;Times;serif" w:hAnsi="Times New Roman;Times;serif"/>
          <w:b/>
          <w:color w:val="000000"/>
          <w:sz w:val="20"/>
        </w:rPr>
      </w:pPr>
      <w:bookmarkStart w:id="389" w:name="tANXAA7"/>
      <w:bookmarkEnd w:id="389"/>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40" w:after="283"/>
        <w:ind w:left="0" w:right="0" w:firstLine="400"/>
        <w:jc w:val="left"/>
        <w:rPr>
          <w:rFonts w:ascii="Times New Roman;Times;serif" w:hAnsi="Times New Roman;Times;serif"/>
          <w:color w:val="000000"/>
          <w:sz w:val="20"/>
        </w:rPr>
      </w:pPr>
      <w:bookmarkStart w:id="390" w:name="tANXAS71"/>
      <w:bookmarkEnd w:id="390"/>
      <w:r>
        <w:rPr>
          <w:rFonts w:ascii="Times New Roman;Times;serif" w:hAnsi="Times New Roman;Times;serif"/>
          <w:color w:val="000000"/>
          <w:sz w:val="20"/>
        </w:rPr>
        <w:t>7.1 </w:t>
      </w:r>
      <w:r>
        <w:rPr>
          <w:rFonts w:ascii="Times New Roman;Times;serif" w:hAnsi="Times New Roman;Times;serif"/>
          <w:color w:val="000000"/>
          <w:sz w:val="20"/>
          <w:u w:val="single"/>
        </w:rPr>
        <w:t>Reasonable Best Efforts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the right of Acquiror to take any action that constitutes an Acquiror Adverse Recommendation Change as expressly permitted pursuant to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and the right of the Company to take any action that constitutes a Company Adverse Recommendation Change as expressly permitted pursuant to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77966x1_n14_300-annexa_pg34"/>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 </w:t>
      </w:r>
    </w:p>
    <w:p>
      <w:pPr>
        <w:pStyle w:val="TextBody"/>
        <w:bidi w:val="0"/>
        <w:spacing w:before="170" w:after="283"/>
        <w:ind w:left="0" w:right="0" w:firstLine="400"/>
        <w:jc w:val="left"/>
        <w:rPr>
          <w:rFonts w:ascii="Times New Roman;Times;serif" w:hAnsi="Times New Roman;Times;serif"/>
          <w:color w:val="000000"/>
          <w:sz w:val="20"/>
        </w:rPr>
      </w:pPr>
      <w:bookmarkStart w:id="392" w:name="tANXAS72"/>
      <w:bookmarkEnd w:id="392"/>
      <w:r>
        <w:rPr>
          <w:rFonts w:ascii="Times New Roman;Times;serif" w:hAnsi="Times New Roman;Times;serif"/>
          <w:color w:val="000000"/>
          <w:sz w:val="20"/>
        </w:rPr>
        <w:t>7.2 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 </w:t>
      </w:r>
    </w:p>
    <w:p>
      <w:pPr>
        <w:pStyle w:val="TextBody"/>
        <w:bidi w:val="0"/>
        <w:spacing w:before="160" w:after="283"/>
        <w:ind w:left="0" w:right="0" w:firstLine="400"/>
        <w:jc w:val="left"/>
        <w:rPr>
          <w:rFonts w:ascii="Times New Roman;Times;serif" w:hAnsi="Times New Roman;Times;serif"/>
          <w:color w:val="000000"/>
          <w:sz w:val="20"/>
        </w:rPr>
      </w:pPr>
      <w:bookmarkStart w:id="393" w:name="tANXAS73"/>
      <w:bookmarkEnd w:id="393"/>
      <w:r>
        <w:rPr>
          <w:rFonts w:ascii="Times New Roman;Times;serif" w:hAnsi="Times New Roman;Times;serif"/>
          <w:color w:val="000000"/>
          <w:sz w:val="20"/>
        </w:rPr>
        <w:t>7.3 </w:t>
      </w:r>
      <w:r>
        <w:rPr>
          <w:rFonts w:ascii="Times New Roman;Times;serif" w:hAnsi="Times New Roman;Times;serif"/>
          <w:color w:val="000000"/>
          <w:sz w:val="20"/>
          <w:u w:val="single"/>
        </w:rPr>
        <w:t>Stockholder Approval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(a) Notwithstanding anything to the contrary in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unless the Acquiror Board has withdrawn the Acquiror Board Recommendation in compliance with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Acquiror shall use reasonable best efforts to obtain from Acquiror’s stockholders the Acquiror Requisite Vote, including, subject to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by providing to Acquiror’s stockholders the Acquiror Board Recommendation and including such recommendation in the Joint Proxy Statement/Prospectus and by, at the request of the Company, postponing or adjourning the Acquiror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4" w:name="ny20077966x1_n14_300-annexa_pg35"/>
        <w:bookmarkEnd w:id="3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Meeting to obtain a quorum or solicit additional proxies;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Acquiror’s obligations pursuant to this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anything to the contrary in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unless (i) the Company Board has withdrawn the Company Board Recommendation in compliance with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the Company’s obligations pursuant to this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 </w:t>
      </w:r>
    </w:p>
    <w:p>
      <w:pPr>
        <w:pStyle w:val="TextBody"/>
        <w:bidi w:val="0"/>
        <w:spacing w:before="120" w:after="283"/>
        <w:ind w:left="0" w:right="0" w:firstLine="400"/>
        <w:jc w:val="both"/>
        <w:rPr>
          <w:rFonts w:ascii="Times New Roman;Times;serif" w:hAnsi="Times New Roman;Times;serif"/>
          <w:color w:val="000000"/>
          <w:sz w:val="20"/>
        </w:rPr>
      </w:pPr>
      <w:bookmarkStart w:id="395" w:name="tANXAS74"/>
      <w:bookmarkEnd w:id="395"/>
      <w:r>
        <w:rPr>
          <w:rFonts w:ascii="Times New Roman;Times;serif" w:hAnsi="Times New Roman;Times;serif"/>
          <w:color w:val="000000"/>
          <w:sz w:val="20"/>
        </w:rPr>
        <w:t>7.4 </w:t>
      </w:r>
      <w:r>
        <w:rPr>
          <w:rFonts w:ascii="Times New Roman;Times;serif" w:hAnsi="Times New Roman;Times;serif"/>
          <w:color w:val="000000"/>
          <w:sz w:val="20"/>
          <w:u w:val="single"/>
        </w:rPr>
        <w:t>NASDAQ Listing</w:t>
      </w:r>
      <w:r>
        <w:rPr>
          <w:rFonts w:ascii="Times New Roman;Times;serif" w:hAnsi="Times New Roman;Times;serif"/>
          <w:color w:val="000000"/>
          <w:sz w:val="20"/>
        </w:rPr>
        <w:t xml:space="preserve">. Acquiror shall use reasonable best efforts to cause the shares of Acquiror Common Stock to be issued as Merger Consideration under this Agreement to be approved for listing on the NASDAQ, subject to official notice of issuance, at or prior to the Merger Effective Time. </w:t>
      </w:r>
    </w:p>
    <w:p>
      <w:pPr>
        <w:pStyle w:val="TextBody"/>
        <w:bidi w:val="0"/>
        <w:spacing w:before="160" w:after="283"/>
        <w:ind w:left="0" w:right="0" w:firstLine="400"/>
        <w:jc w:val="left"/>
        <w:rPr>
          <w:rFonts w:ascii="Times New Roman;Times;serif" w:hAnsi="Times New Roman;Times;serif"/>
          <w:color w:val="000000"/>
          <w:sz w:val="20"/>
        </w:rPr>
      </w:pPr>
      <w:bookmarkStart w:id="396" w:name="tANXAS75"/>
      <w:bookmarkEnd w:id="396"/>
      <w:r>
        <w:rPr>
          <w:rFonts w:ascii="Times New Roman;Times;serif" w:hAnsi="Times New Roman;Times;serif"/>
          <w:color w:val="000000"/>
          <w:sz w:val="20"/>
        </w:rPr>
        <w:t>7.5 </w:t>
      </w:r>
      <w:r>
        <w:rPr>
          <w:rFonts w:ascii="Times New Roman;Times;serif" w:hAnsi="Times New Roman;Times;serif"/>
          <w:color w:val="000000"/>
          <w:sz w:val="20"/>
          <w:u w:val="single"/>
        </w:rPr>
        <w:t>Indemnification; Directors’ and Officers’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Times;serif" w:hAnsi="Times New Roman;Times;serif"/>
          <w:color w:val="000000"/>
          <w:sz w:val="20"/>
          <w:u w:val="single"/>
        </w:rPr>
        <w:t>Indemnified 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Times;serif" w:hAnsi="Times New Roman;Times;serif"/>
          <w:color w:val="000000"/>
          <w:sz w:val="20"/>
          <w:u w:val="single"/>
        </w:rPr>
        <w:t>Indemnified Liabilities</w:t>
      </w:r>
      <w:r>
        <w:rPr>
          <w:rFonts w:ascii="Times New Roman;Times;serif" w:hAnsi="Times New Roman;Times;serif"/>
          <w:color w:val="000000"/>
          <w:sz w:val="20"/>
        </w:rPr>
        <w:t xml:space="preserve">”)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77966x1_n14_300-annexa_pg36"/>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Times;serif" w:hAnsi="Times New Roman;Times;serif"/>
          <w:color w:val="000000"/>
          <w:sz w:val="20"/>
          <w:u w:val="single"/>
        </w:rPr>
        <w:t>Tail Period</w:t>
      </w:r>
      <w:r>
        <w:rPr>
          <w:rFonts w:ascii="Times New Roman;Times;serif" w:hAnsi="Times New Roman;Times;serif"/>
          <w:color w:val="000000"/>
          <w:sz w:val="20"/>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Times;serif" w:hAnsi="Times New Roman;Times;serif"/>
          <w:color w:val="000000"/>
          <w:sz w:val="20"/>
          <w:u w:val="single"/>
        </w:rPr>
        <w:t>Current D&amp;O Insurance</w:t>
      </w:r>
      <w:r>
        <w:rPr>
          <w:rFonts w:ascii="Times New Roman;Times;serif" w:hAnsi="Times New Roman;Times;serif"/>
          <w:color w:val="000000"/>
          <w:sz w:val="20"/>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annual cost of such insurance exceed during the Tail Period 300% of the current aggregate annual premium paid by the Company for such purpose;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cost of such insurance coverage exceeds such amount, the Surviving Company or its successor shall obtain a policy with the greatest coverage available for a cost not exceeding such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Indemnified Party wishing to claim indemnification under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upon learning of any Proceeding described above, shall promptly notify Acquiror in writing;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failure to so notify shall not affect the obligations of Acquiror under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unless Acquiror is materially prejudiced as a consequence.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provisions of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 </w:t>
      </w:r>
    </w:p>
    <w:p>
      <w:pPr>
        <w:pStyle w:val="TextBody"/>
        <w:bidi w:val="0"/>
        <w:spacing w:before="160" w:after="283"/>
        <w:ind w:left="0" w:right="0" w:firstLine="400"/>
        <w:jc w:val="left"/>
        <w:rPr>
          <w:rFonts w:ascii="Times New Roman;Times;serif" w:hAnsi="Times New Roman;Times;serif"/>
          <w:color w:val="000000"/>
          <w:sz w:val="20"/>
        </w:rPr>
      </w:pPr>
      <w:bookmarkStart w:id="398" w:name="tANXAS76"/>
      <w:bookmarkEnd w:id="398"/>
      <w:r>
        <w:rPr>
          <w:rFonts w:ascii="Times New Roman;Times;serif" w:hAnsi="Times New Roman;Times;serif"/>
          <w:color w:val="000000"/>
          <w:sz w:val="20"/>
        </w:rPr>
        <w:t>7.6 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in the case of Acquiror and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77966x1_n14_300-annexa_pg37"/>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 </w:t>
      </w:r>
    </w:p>
    <w:p>
      <w:pPr>
        <w:pStyle w:val="TextBody"/>
        <w:bidi w:val="0"/>
        <w:spacing w:before="160" w:after="283"/>
        <w:ind w:left="0" w:right="0" w:firstLine="400"/>
        <w:jc w:val="left"/>
        <w:rPr>
          <w:rFonts w:ascii="Times New Roman;Times;serif" w:hAnsi="Times New Roman;Times;serif"/>
          <w:color w:val="000000"/>
          <w:sz w:val="20"/>
        </w:rPr>
      </w:pPr>
      <w:bookmarkStart w:id="400" w:name="tANXAS77"/>
      <w:bookmarkEnd w:id="400"/>
      <w:r>
        <w:rPr>
          <w:rFonts w:ascii="Times New Roman;Times;serif" w:hAnsi="Times New Roman;Times;serif"/>
          <w:color w:val="000000"/>
          <w:sz w:val="20"/>
        </w:rPr>
        <w:t>7.7 </w:t>
      </w:r>
      <w:r>
        <w:rPr>
          <w:rFonts w:ascii="Times New Roman;Times;serif" w:hAnsi="Times New Roman;Times;serif"/>
          <w:color w:val="000000"/>
          <w:sz w:val="20"/>
          <w:u w:val="single"/>
        </w:rPr>
        <w:t>Acquiror Takeover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Times;serif" w:hAnsi="Times New Roman;Times;serif"/>
          <w:color w:val="000000"/>
          <w:sz w:val="20"/>
          <w:u w:val="single"/>
        </w:rPr>
        <w:t>Sections 7.6(a)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Acquiror may: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(ii) after fulfilling its obligations under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below, adopt, approve or recommend, or publicly propose to adopt, approve or recommend such Takeover Proposal, including entering into an agreement with respect thereto (collectively, a “</w:t>
      </w:r>
      <w:r>
        <w:rPr>
          <w:rFonts w:ascii="Times New Roman;Times;serif" w:hAnsi="Times New Roman;Times;serif"/>
          <w:color w:val="000000"/>
          <w:sz w:val="20"/>
          <w:u w:val="single"/>
        </w:rPr>
        <w:t>Takeover Approval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77966x1_n14_300-annexa_pg38"/>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Times;serif" w:hAnsi="Times New Roman;Times;serif"/>
          <w:color w:val="000000"/>
          <w:sz w:val="20"/>
          <w:u w:val="single"/>
        </w:rPr>
        <w:t>Acquiror Adverse Recommendation Change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any determination that a Takeover Proposal constitutes an Acquiror Superior Proposal, Acquiror shall promptly provide (and in any event within twenty-four (24) hours of such determination) to the Company a written notice (a “</w:t>
      </w:r>
      <w:r>
        <w:rPr>
          <w:rFonts w:ascii="Times New Roman;Times;serif" w:hAnsi="Times New Roman;Times;serif"/>
          <w:color w:val="000000"/>
          <w:sz w:val="20"/>
          <w:u w:val="single"/>
        </w:rPr>
        <w:t>Notice of an Acquiror Superior Proposal</w:t>
      </w:r>
      <w:r>
        <w:rPr>
          <w:rFonts w:ascii="Times New Roman;Times;serif" w:hAnsi="Times New Roman;Times;serif"/>
          <w:color w:val="000000"/>
          <w:sz w:val="20"/>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above, Acquiror may terminate this Agreement pursuant to </w:t>
      </w:r>
      <w:r>
        <w:rPr>
          <w:rFonts w:ascii="Times New Roman;Times;serif" w:hAnsi="Times New Roman;Times;serif"/>
          <w:color w:val="000000"/>
          <w:sz w:val="20"/>
          <w:u w:val="single"/>
        </w:rPr>
        <w:t>Section 9.1(d)(iv)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(c) Other than as permitted by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Times;serif" w:hAnsi="Times New Roman;Times;serif"/>
          <w:color w:val="000000"/>
          <w:sz w:val="20"/>
          <w:u w:val="single"/>
        </w:rPr>
        <w:t>Acquiror Intervening Event Recommendation Change</w:t>
      </w:r>
      <w:r>
        <w:rPr>
          <w:rFonts w:ascii="Times New Roman;Times;serif" w:hAnsi="Times New Roman;Times;serif"/>
          <w:color w:val="000000"/>
          <w:sz w:val="20"/>
        </w:rPr>
        <w:t>”) if (A) prior to effecting any such Acquiror Intervening Event Recommendation Change, Acquiror promptly notifies the Company, in writing, at least five (5) Business Days (the “</w:t>
      </w:r>
      <w:r>
        <w:rPr>
          <w:rFonts w:ascii="Times New Roman;Times;serif" w:hAnsi="Times New Roman;Times;serif"/>
          <w:color w:val="000000"/>
          <w:sz w:val="20"/>
          <w:u w:val="single"/>
        </w:rPr>
        <w:t>Acquiror Intervening Event Notice Period</w:t>
      </w:r>
      <w:r>
        <w:rPr>
          <w:rFonts w:ascii="Times New Roman;Times;serif" w:hAnsi="Times New Roman;Times;serif"/>
          <w:color w:val="000000"/>
          <w:sz w:val="20"/>
        </w:rPr>
        <w:t xml:space="preserve">”)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such disclosures (other than a “stop, look and listen” communication or similar communication of the type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2" w:name="ny20077966x1_n14_300-annexa_pg39"/>
        <w:bookmarkEnd w:id="4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 </w:t>
      </w:r>
    </w:p>
    <w:p>
      <w:pPr>
        <w:pStyle w:val="TextBody"/>
        <w:bidi w:val="0"/>
        <w:spacing w:before="170" w:after="283"/>
        <w:ind w:left="0" w:right="0" w:firstLine="400"/>
        <w:jc w:val="left"/>
        <w:rPr>
          <w:rFonts w:ascii="Times New Roman;Times;serif" w:hAnsi="Times New Roman;Times;serif"/>
          <w:color w:val="000000"/>
          <w:sz w:val="20"/>
        </w:rPr>
      </w:pPr>
      <w:bookmarkStart w:id="403" w:name="tANXAS78"/>
      <w:bookmarkEnd w:id="403"/>
      <w:r>
        <w:rPr>
          <w:rFonts w:ascii="Times New Roman;Times;serif" w:hAnsi="Times New Roman;Times;serif"/>
          <w:color w:val="000000"/>
          <w:sz w:val="20"/>
        </w:rPr>
        <w:t>7.8 </w:t>
      </w:r>
      <w:r>
        <w:rPr>
          <w:rFonts w:ascii="Times New Roman;Times;serif" w:hAnsi="Times New Roman;Times;serif"/>
          <w:color w:val="000000"/>
          <w:sz w:val="20"/>
          <w:u w:val="single"/>
        </w:rPr>
        <w:t>Company Takeover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Times;serif" w:hAnsi="Times New Roman;Times;serif"/>
          <w:color w:val="000000"/>
          <w:sz w:val="20"/>
          <w:u w:val="single"/>
        </w:rPr>
        <w:t>Sections 7.6(a)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Times;serif" w:hAnsi="Times New Roman;Times;serif"/>
          <w:color w:val="000000"/>
          <w:sz w:val="20"/>
          <w:u w:val="single"/>
        </w:rPr>
        <w:t>Section 7.8(a)</w:t>
      </w:r>
      <w:r>
        <w:rPr>
          <w:rFonts w:ascii="Times New Roman;Times;serif" w:hAnsi="Times New Roman;Times;serif"/>
          <w:color w:val="000000"/>
          <w:sz w:val="20"/>
        </w:rPr>
        <w:t xml:space="preserve">, the Company may: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(ii) after fulfilling its obligations under </w:t>
      </w:r>
      <w:r>
        <w:rPr>
          <w:rFonts w:ascii="Times New Roman;Times;serif" w:hAnsi="Times New Roman;Times;serif"/>
          <w:color w:val="000000"/>
          <w:sz w:val="20"/>
          <w:u w:val="single"/>
        </w:rPr>
        <w:t>Section 7.8(b)</w:t>
      </w:r>
      <w:r>
        <w:rPr>
          <w:rFonts w:ascii="Times New Roman;Times;serif" w:hAnsi="Times New Roman;Times;serif"/>
          <w:color w:val="000000"/>
          <w:sz w:val="20"/>
        </w:rPr>
        <w:t xml:space="preserve"> below, effect a Takeover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Times;serif" w:hAnsi="Times New Roman;Times;serif"/>
          <w:color w:val="000000"/>
          <w:sz w:val="20"/>
          <w:u w:val="single"/>
        </w:rPr>
        <w:t>Company Adverse Recommendation Change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any determination that a Takeover Proposal constitutes a Company Superior Proposal, the Company shall promptly provide (and in any event within twenty-four (24) hours of such determination) to Acquiror a written notice (a “</w:t>
      </w:r>
      <w:r>
        <w:rPr>
          <w:rFonts w:ascii="Times New Roman;Times;serif" w:hAnsi="Times New Roman;Times;serif"/>
          <w:color w:val="000000"/>
          <w:sz w:val="20"/>
          <w:u w:val="single"/>
        </w:rPr>
        <w:t>Notice of a Company Superior Proposal</w:t>
      </w:r>
      <w:r>
        <w:rPr>
          <w:rFonts w:ascii="Times New Roman;Times;serif" w:hAnsi="Times New Roman;Times;serif"/>
          <w:color w:val="000000"/>
          <w:sz w:val="20"/>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Times;serif" w:hAnsi="Times New Roman;Times;serif"/>
          <w:color w:val="000000"/>
          <w:sz w:val="20"/>
          <w:u w:val="single"/>
        </w:rPr>
        <w:t>Section 7.8(a)</w:t>
      </w:r>
      <w:r>
        <w:rPr>
          <w:rFonts w:ascii="Times New Roman;Times;serif" w:hAnsi="Times New Roman;Times;serif"/>
          <w:color w:val="000000"/>
          <w:sz w:val="20"/>
        </w:rPr>
        <w:t xml:space="preserve"> above, the Company may terminate this Agreement pursuant to </w:t>
      </w:r>
      <w:r>
        <w:rPr>
          <w:rFonts w:ascii="Times New Roman;Times;serif" w:hAnsi="Times New Roman;Times;serif"/>
          <w:color w:val="000000"/>
          <w:sz w:val="20"/>
          <w:u w:val="single"/>
        </w:rPr>
        <w:t>Section ‎9.1(c)(iv)</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77966x1_n14_300-annexa_pg40"/>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(c) Other than as permitted by </w:t>
      </w:r>
      <w:r>
        <w:rPr>
          <w:rFonts w:ascii="Times New Roman;Times;serif" w:hAnsi="Times New Roman;Times;serif"/>
          <w:color w:val="000000"/>
          <w:sz w:val="20"/>
          <w:u w:val="single"/>
        </w:rPr>
        <w:t>Section 7.8(a)</w:t>
      </w:r>
      <w:r>
        <w:rPr>
          <w:rFonts w:ascii="Times New Roman;Times;serif" w:hAnsi="Times New Roman;Times;serif"/>
          <w:color w:val="000000"/>
          <w:sz w:val="20"/>
        </w:rPr>
        <w:t xml:space="preserve">,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Times;serif" w:hAnsi="Times New Roman;Times;serif"/>
          <w:color w:val="000000"/>
          <w:sz w:val="20"/>
          <w:u w:val="single"/>
        </w:rPr>
        <w:t>Company Intervening Event Recommendation Change</w:t>
      </w:r>
      <w:r>
        <w:rPr>
          <w:rFonts w:ascii="Times New Roman;Times;serif" w:hAnsi="Times New Roman;Times;serif"/>
          <w:color w:val="000000"/>
          <w:sz w:val="20"/>
        </w:rPr>
        <w:t>”) if (A) prior to effecting any such Company Intervening Event Recommendation Change, the Company promptly notifies Acquiror, in writing, at least five (5) Business Days (the “</w:t>
      </w:r>
      <w:r>
        <w:rPr>
          <w:rFonts w:ascii="Times New Roman;Times;serif" w:hAnsi="Times New Roman;Times;serif"/>
          <w:color w:val="000000"/>
          <w:sz w:val="20"/>
          <w:u w:val="single"/>
        </w:rPr>
        <w:t>Company Intervening Event Notice Period</w:t>
      </w:r>
      <w:r>
        <w:rPr>
          <w:rFonts w:ascii="Times New Roman;Times;serif" w:hAnsi="Times New Roman;Times;serif"/>
          <w:color w:val="000000"/>
          <w:sz w:val="20"/>
        </w:rPr>
        <w:t xml:space="preserve">”)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 </w:t>
      </w:r>
    </w:p>
    <w:p>
      <w:pPr>
        <w:pStyle w:val="TextBody"/>
        <w:bidi w:val="0"/>
        <w:spacing w:before="160" w:after="283"/>
        <w:ind w:left="0" w:right="0" w:firstLine="400"/>
        <w:jc w:val="left"/>
        <w:rPr>
          <w:rFonts w:ascii="Times New Roman;Times;serif" w:hAnsi="Times New Roman;Times;serif"/>
          <w:color w:val="000000"/>
          <w:sz w:val="20"/>
        </w:rPr>
      </w:pPr>
      <w:bookmarkStart w:id="405" w:name="tANXAS79"/>
      <w:bookmarkEnd w:id="405"/>
      <w:r>
        <w:rPr>
          <w:rFonts w:ascii="Times New Roman;Times;serif" w:hAnsi="Times New Roman;Times;serif"/>
          <w:color w:val="000000"/>
          <w:sz w:val="20"/>
        </w:rPr>
        <w:t>7.9 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either Acquiror or the Company may restrict access to the extent required by any applicable Law or as may be necessary to preserve attorney-client privilege under any circumstances in which such privilege may be jeopardized by such disclosure or access.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investigation by a party hereto or its representatives shall affect or be deemed to modify the representations and warranties of the other party set forth in this Agreement. </w:t>
      </w:r>
    </w:p>
    <w:p>
      <w:pPr>
        <w:pStyle w:val="TextBody"/>
        <w:bidi w:val="0"/>
        <w:spacing w:before="120" w:after="283"/>
        <w:ind w:left="0" w:right="0" w:firstLine="400"/>
        <w:jc w:val="both"/>
        <w:rPr>
          <w:rFonts w:ascii="Times New Roman;Times;serif" w:hAnsi="Times New Roman;Times;serif"/>
          <w:color w:val="000000"/>
          <w:sz w:val="20"/>
        </w:rPr>
      </w:pPr>
      <w:bookmarkStart w:id="406" w:name="tANXAS710"/>
      <w:bookmarkEnd w:id="406"/>
      <w:r>
        <w:rPr>
          <w:rFonts w:ascii="Times New Roman;Times;serif" w:hAnsi="Times New Roman;Times;serif"/>
          <w:color w:val="000000"/>
          <w:sz w:val="20"/>
        </w:rPr>
        <w:t>7.10 </w:t>
      </w:r>
      <w:r>
        <w:rPr>
          <w:rFonts w:ascii="Times New Roman;Times;serif" w:hAnsi="Times New Roman;Times;serif"/>
          <w:color w:val="000000"/>
          <w:sz w:val="20"/>
          <w:u w:val="single"/>
        </w:rPr>
        <w:t>Publicity</w:t>
      </w:r>
      <w:r>
        <w:rPr>
          <w:rFonts w:ascii="Times New Roman;Times;serif" w:hAnsi="Times New Roman;Times;serif"/>
          <w:color w:val="000000"/>
          <w:sz w:val="20"/>
        </w:rPr>
        <w:t xml:space="preserve">. The initial press release with respect to the Transactions shall be a joint press release reasonably acceptable to each of the Company, Acquiror and the Advisers. Thereafter, so long as this Agreement is in effect,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77966x1_n14_300-annexa_pg41"/>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Times;serif" w:hAnsi="Times New Roman;Times;serif"/>
          <w:color w:val="000000"/>
          <w:sz w:val="20"/>
          <w:u w:val="single"/>
        </w:rPr>
        <w:t>Section 7.10</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08" w:name="tANXAS711"/>
      <w:bookmarkEnd w:id="408"/>
      <w:r>
        <w:rPr>
          <w:rFonts w:ascii="Times New Roman;Times;serif" w:hAnsi="Times New Roman;Times;serif"/>
          <w:color w:val="000000"/>
          <w:sz w:val="20"/>
        </w:rPr>
        <w:t>7.11 </w:t>
      </w:r>
      <w:r>
        <w:rPr>
          <w:rFonts w:ascii="Times New Roman;Times;serif" w:hAnsi="Times New Roman;Times;serif"/>
          <w:color w:val="000000"/>
          <w:sz w:val="20"/>
          <w:u w:val="single"/>
        </w:rPr>
        <w:t>Takeover Statutes and Provisions</w:t>
      </w:r>
      <w:r>
        <w:rPr>
          <w:rFonts w:ascii="Times New Roman;Times;serif" w:hAnsi="Times New Roman;Times;serif"/>
          <w:color w:val="000000"/>
          <w:sz w:val="20"/>
        </w:rPr>
        <w:t xml:space="preserve">.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 </w:t>
      </w:r>
    </w:p>
    <w:p>
      <w:pPr>
        <w:pStyle w:val="TextBody"/>
        <w:bidi w:val="0"/>
        <w:spacing w:before="170" w:after="283"/>
        <w:ind w:left="0" w:right="0" w:firstLine="400"/>
        <w:jc w:val="left"/>
        <w:rPr>
          <w:rFonts w:ascii="Times New Roman;Times;serif" w:hAnsi="Times New Roman;Times;serif"/>
          <w:color w:val="000000"/>
          <w:sz w:val="20"/>
        </w:rPr>
      </w:pPr>
      <w:bookmarkStart w:id="409" w:name="tANXAS712"/>
      <w:bookmarkEnd w:id="409"/>
      <w:r>
        <w:rPr>
          <w:rFonts w:ascii="Times New Roman;Times;serif" w:hAnsi="Times New Roman;Times;serif"/>
          <w:color w:val="000000"/>
          <w:sz w:val="20"/>
        </w:rPr>
        <w:t>7.12 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Tax Representation Letters</w:t>
      </w:r>
      <w:r>
        <w:rPr>
          <w:rFonts w:ascii="Times New Roman;Times;serif" w:hAnsi="Times New Roman;Times;serif"/>
          <w:color w:val="000000"/>
          <w:sz w:val="20"/>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Times;serif" w:hAnsi="Times New Roman;Times;serif"/>
          <w:color w:val="000000"/>
          <w:sz w:val="20"/>
          <w:u w:val="single"/>
        </w:rPr>
        <w:t>Sections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8.3(e)</w:t>
      </w:r>
      <w:r>
        <w:rPr>
          <w:rFonts w:ascii="Times New Roman;Times;serif" w:hAnsi="Times New Roman;Times;serif"/>
          <w:color w:val="000000"/>
          <w:sz w:val="20"/>
        </w:rPr>
        <w:t xml:space="preserve">) in form and substance reasonably satisfactory to each such counsel, containing such representations as shall be reasonably necessary or appropriate to enable such counsel to deliver the relevant tax opinions.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RIC and REIT Status</w:t>
      </w:r>
      <w:r>
        <w:rPr>
          <w:rFonts w:ascii="Times New Roman;Times;serif" w:hAnsi="Times New Roman;Times;serif"/>
          <w:color w:val="000000"/>
          <w:sz w:val="20"/>
        </w:rPr>
        <w:t xml:space="preserve">.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Pre-Closing Tax Dividends</w:t>
      </w:r>
      <w:r>
        <w:rPr>
          <w:rFonts w:ascii="Times New Roman;Times;serif" w:hAnsi="Times New Roman;Times;serif"/>
          <w:color w:val="000000"/>
          <w:sz w:val="20"/>
        </w:rPr>
        <w:t xml:space="preserve">.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Tax Treatment of Merger</w:t>
      </w:r>
      <w:r>
        <w:rPr>
          <w:rFonts w:ascii="Times New Roman;Times;serif" w:hAnsi="Times New Roman;Times;serif"/>
          <w:color w:val="000000"/>
          <w:sz w:val="20"/>
        </w:rPr>
        <w:t xml:space="preserve">.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Tax Opinions</w:t>
      </w:r>
      <w:r>
        <w:rPr>
          <w:rFonts w:ascii="Times New Roman;Times;serif" w:hAnsi="Times New Roman;Times;serif"/>
          <w:color w:val="000000"/>
          <w:sz w:val="20"/>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Times;serif" w:hAnsi="Times New Roman;Times;serif"/>
          <w:color w:val="000000"/>
          <w:sz w:val="20"/>
          <w:u w:val="single"/>
        </w:rPr>
        <w:t>Section 7.12(a)</w:t>
      </w:r>
      <w:r>
        <w:rPr>
          <w:rFonts w:ascii="Times New Roman;Times;serif" w:hAnsi="Times New Roman;Times;serif"/>
          <w:color w:val="000000"/>
          <w:sz w:val="20"/>
        </w:rPr>
        <w:t xml:space="preserve">, providing any information reasonably requested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77966x1_n14_300-annexa_pg42"/>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 </w:t>
      </w:r>
    </w:p>
    <w:p>
      <w:pPr>
        <w:pStyle w:val="TextBody"/>
        <w:bidi w:val="0"/>
        <w:spacing w:before="120" w:after="283"/>
        <w:ind w:left="0" w:right="0" w:firstLine="400"/>
        <w:jc w:val="both"/>
        <w:rPr>
          <w:rFonts w:ascii="Times New Roman;Times;serif" w:hAnsi="Times New Roman;Times;serif"/>
          <w:color w:val="000000"/>
          <w:sz w:val="20"/>
        </w:rPr>
      </w:pPr>
      <w:bookmarkStart w:id="411" w:name="tANXAS713"/>
      <w:bookmarkEnd w:id="411"/>
      <w:r>
        <w:rPr>
          <w:rFonts w:ascii="Times New Roman;Times;serif" w:hAnsi="Times New Roman;Times;serif"/>
          <w:color w:val="000000"/>
          <w:sz w:val="20"/>
        </w:rPr>
        <w:t>7.13 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 </w:t>
      </w:r>
    </w:p>
    <w:p>
      <w:pPr>
        <w:pStyle w:val="TextBody"/>
        <w:bidi w:val="0"/>
        <w:spacing w:before="120" w:after="283"/>
        <w:ind w:left="0" w:right="0" w:firstLine="400"/>
        <w:jc w:val="both"/>
        <w:rPr>
          <w:rFonts w:ascii="Times New Roman;Times;serif" w:hAnsi="Times New Roman;Times;serif"/>
          <w:color w:val="000000"/>
          <w:sz w:val="20"/>
        </w:rPr>
      </w:pPr>
      <w:bookmarkStart w:id="412" w:name="tANXAS714"/>
      <w:bookmarkEnd w:id="412"/>
      <w:r>
        <w:rPr>
          <w:rFonts w:ascii="Times New Roman;Times;serif" w:hAnsi="Times New Roman;Times;serif"/>
          <w:color w:val="000000"/>
          <w:sz w:val="20"/>
        </w:rPr>
        <w:t>7.14 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 </w:t>
      </w:r>
    </w:p>
    <w:p>
      <w:pPr>
        <w:pStyle w:val="TextBody"/>
        <w:bidi w:val="0"/>
        <w:spacing w:before="120" w:after="283"/>
        <w:ind w:left="0" w:right="0" w:firstLine="400"/>
        <w:jc w:val="both"/>
        <w:rPr>
          <w:rFonts w:ascii="Times New Roman;Times;serif" w:hAnsi="Times New Roman;Times;serif"/>
          <w:color w:val="000000"/>
          <w:sz w:val="20"/>
        </w:rPr>
      </w:pPr>
      <w:bookmarkStart w:id="413" w:name="tANXAS715"/>
      <w:bookmarkEnd w:id="413"/>
      <w:r>
        <w:rPr>
          <w:rFonts w:ascii="Times New Roman;Times;serif" w:hAnsi="Times New Roman;Times;serif"/>
          <w:color w:val="000000"/>
          <w:sz w:val="20"/>
        </w:rPr>
        <w:t>7.15 </w:t>
      </w:r>
      <w:r>
        <w:rPr>
          <w:rFonts w:ascii="Times New Roman;Times;serif" w:hAnsi="Times New Roman;Times;serif"/>
          <w:color w:val="000000"/>
          <w:sz w:val="20"/>
          <w:u w:val="single"/>
        </w:rPr>
        <w:t>No Other Representations or Warranties</w:t>
      </w:r>
      <w:r>
        <w:rPr>
          <w:rFonts w:ascii="Times New Roman;Times;serif" w:hAnsi="Times New Roman;Times;serif"/>
          <w:color w:val="000000"/>
          <w:sz w:val="20"/>
        </w:rPr>
        <w:t xml:space="preserve">. The parties hereto acknowledge and agree that, except for the representations and warranties of the Company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representations and warranties of Acquiror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and the representations and warranties of Advisers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none of Advisers, Acquiror, the Company or any of Acquiror’s or the Company’s respective Consolidated Subsidiaries or any other Person acting on behalf of the foregoing makes any representation or warranty, express or implied. </w:t>
      </w:r>
    </w:p>
    <w:p>
      <w:pPr>
        <w:pStyle w:val="TextBody"/>
        <w:bidi w:val="0"/>
        <w:spacing w:before="120" w:after="283"/>
        <w:ind w:left="0" w:right="0" w:firstLine="400"/>
        <w:jc w:val="both"/>
        <w:rPr>
          <w:rFonts w:ascii="Times New Roman;Times;serif" w:hAnsi="Times New Roman;Times;serif"/>
          <w:color w:val="000000"/>
          <w:sz w:val="20"/>
        </w:rPr>
      </w:pPr>
      <w:bookmarkStart w:id="414" w:name="tANXAS716"/>
      <w:bookmarkEnd w:id="414"/>
      <w:r>
        <w:rPr>
          <w:rFonts w:ascii="Times New Roman;Times;serif" w:hAnsi="Times New Roman;Times;serif"/>
          <w:color w:val="000000"/>
          <w:sz w:val="20"/>
        </w:rPr>
        <w:t>7.16 </w:t>
      </w:r>
      <w:r>
        <w:rPr>
          <w:rFonts w:ascii="Times New Roman;Times;serif" w:hAnsi="Times New Roman;Times;serif"/>
          <w:color w:val="000000"/>
          <w:sz w:val="20"/>
          <w:u w:val="single"/>
        </w:rPr>
        <w:t>Coordination of Dividends</w:t>
      </w:r>
      <w:r>
        <w:rPr>
          <w:rFonts w:ascii="Times New Roman;Times;serif" w:hAnsi="Times New Roman;Times;serif"/>
          <w:color w:val="000000"/>
          <w:sz w:val="20"/>
        </w:rPr>
        <w:t xml:space="preserve">.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 </w:t>
      </w:r>
    </w:p>
    <w:p>
      <w:pPr>
        <w:pStyle w:val="TextBody"/>
        <w:bidi w:val="0"/>
        <w:spacing w:before="120" w:after="283"/>
        <w:ind w:left="0" w:right="0" w:firstLine="400"/>
        <w:jc w:val="both"/>
        <w:rPr>
          <w:rFonts w:ascii="Times New Roman;Times;serif" w:hAnsi="Times New Roman;Times;serif"/>
          <w:color w:val="000000"/>
          <w:sz w:val="20"/>
        </w:rPr>
      </w:pPr>
      <w:bookmarkStart w:id="415" w:name="tANXAS717"/>
      <w:bookmarkEnd w:id="415"/>
      <w:r>
        <w:rPr>
          <w:rFonts w:ascii="Times New Roman;Times;serif" w:hAnsi="Times New Roman;Times;serif"/>
          <w:color w:val="000000"/>
          <w:sz w:val="20"/>
        </w:rPr>
        <w:t>7.17 </w:t>
      </w:r>
      <w:r>
        <w:rPr>
          <w:rFonts w:ascii="Times New Roman;Times;serif" w:hAnsi="Times New Roman;Times;serif"/>
          <w:color w:val="000000"/>
          <w:sz w:val="20"/>
          <w:u w:val="single"/>
        </w:rPr>
        <w:t>Share Repurchase Program</w:t>
      </w:r>
      <w:r>
        <w:rPr>
          <w:rFonts w:ascii="Times New Roman;Times;serif" w:hAnsi="Times New Roman;Times;serif"/>
          <w:color w:val="000000"/>
          <w:sz w:val="20"/>
        </w:rPr>
        <w:t xml:space="preserve">.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 </w:t>
      </w:r>
    </w:p>
    <w:p>
      <w:pPr>
        <w:pStyle w:val="TextBody"/>
        <w:bidi w:val="0"/>
        <w:spacing w:before="410" w:after="283"/>
        <w:jc w:val="center"/>
        <w:rPr>
          <w:rFonts w:ascii="Times New Roman;Times;serif" w:hAnsi="Times New Roman;Times;serif"/>
          <w:b/>
          <w:color w:val="000000"/>
          <w:sz w:val="20"/>
        </w:rPr>
      </w:pPr>
      <w:bookmarkStart w:id="416" w:name="tANXAA8"/>
      <w:bookmarkEnd w:id="416"/>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PRECEDENT </w:t>
      </w:r>
    </w:p>
    <w:p>
      <w:pPr>
        <w:pStyle w:val="TextBody"/>
        <w:bidi w:val="0"/>
        <w:spacing w:before="120" w:after="283"/>
        <w:ind w:left="0" w:right="0" w:firstLine="400"/>
        <w:jc w:val="both"/>
        <w:rPr>
          <w:rFonts w:ascii="Times New Roman;Times;serif" w:hAnsi="Times New Roman;Times;serif"/>
          <w:color w:val="000000"/>
          <w:sz w:val="20"/>
        </w:rPr>
      </w:pPr>
      <w:bookmarkStart w:id="417" w:name="tANXAS81"/>
      <w:bookmarkEnd w:id="417"/>
      <w:r>
        <w:rPr>
          <w:rFonts w:ascii="Times New Roman;Times;serif" w:hAnsi="Times New Roman;Times;serif"/>
          <w:color w:val="000000"/>
          <w:sz w:val="20"/>
        </w:rPr>
        <w:t>8.1 </w:t>
      </w:r>
      <w:r>
        <w:rPr>
          <w:rFonts w:ascii="Times New Roman;Times;serif" w:hAnsi="Times New Roman;Times;serif"/>
          <w:color w:val="000000"/>
          <w:sz w:val="20"/>
          <w:u w:val="single"/>
        </w:rPr>
        <w:t>Conditions to Each Party’s Obligations to Effect the Merger</w:t>
      </w:r>
      <w:r>
        <w:rPr>
          <w:rFonts w:ascii="Times New Roman;Times;serif" w:hAnsi="Times New Roman;Times;serif"/>
          <w:color w:val="000000"/>
          <w:sz w:val="20"/>
        </w:rPr>
        <w:t xml:space="preserve">. The respective obligations of the parties to effect the Merger shall be subject to the satisfaction or, other than with respect to </w:t>
      </w:r>
      <w:r>
        <w:rPr>
          <w:rFonts w:ascii="Times New Roman;Times;serif" w:hAnsi="Times New Roman;Times;serif"/>
          <w:color w:val="000000"/>
          <w:sz w:val="20"/>
          <w:u w:val="single"/>
        </w:rPr>
        <w:t>Section 8.1(a)</w:t>
      </w:r>
      <w:r>
        <w:rPr>
          <w:rFonts w:ascii="Times New Roman;Times;serif" w:hAnsi="Times New Roman;Times;serif"/>
          <w:color w:val="000000"/>
          <w:sz w:val="20"/>
        </w:rPr>
        <w:t xml:space="preserve">, which shall not be waived by any party hereto, waiver, at or prior to the Merger Effective Time,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Stockholder Approvals; Post-BDC Election Approvals</w:t>
      </w:r>
      <w:r>
        <w:rPr>
          <w:rFonts w:ascii="Times New Roman;Times;serif" w:hAnsi="Times New Roman;Times;serif"/>
          <w:color w:val="000000"/>
          <w:sz w:val="20"/>
        </w:rPr>
        <w:t xml:space="preserve">. (i) The Acquiror Requisite Vote shall have been obtained, (ii) the Company Requisite Vote shall have been obtained at the Company Stockholders Meeting and (iii) the required Post-BDC Election Approvals shall have been obtained from the Company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NASDAQ Listing</w:t>
      </w:r>
      <w:r>
        <w:rPr>
          <w:rFonts w:ascii="Times New Roman;Times;serif" w:hAnsi="Times New Roman;Times;serif"/>
          <w:color w:val="000000"/>
          <w:sz w:val="20"/>
        </w:rPr>
        <w:t xml:space="preserve">. The shares of Acquiror Common Stock to be issued under this Agreement in connection with the Merger shall have been authorized for listing on the NASDAQ, subject to official notice of issuance.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8" w:name="ny20077966x1_n14_300-annexa_pg43"/>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Injunctions or Restraints; Illegality</w:t>
      </w:r>
      <w:r>
        <w:rPr>
          <w:rFonts w:ascii="Times New Roman;Times;serif" w:hAnsi="Times New Roman;Times;serif"/>
          <w:color w:val="000000"/>
          <w:sz w:val="20"/>
        </w:rPr>
        <w:t xml:space="preserve">. No Order issued by any court or agency of competent jurisdiction or other Law preventing, enjoining, restraining or making illegal the consummation of the Merger or any of the other Transactions shall be in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Regulatory and Other Approvals</w:t>
      </w:r>
      <w:r>
        <w:rPr>
          <w:rFonts w:ascii="Times New Roman;Times;serif" w:hAnsi="Times New Roman;Times;serif"/>
          <w:color w:val="000000"/>
          <w:sz w:val="20"/>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Times;serif" w:hAnsi="Times New Roman;Times;serif"/>
          <w:color w:val="000000"/>
          <w:sz w:val="20"/>
          <w:u w:val="single"/>
        </w:rPr>
        <w:t>Section 8.1(e)</w:t>
      </w:r>
      <w:r>
        <w:rPr>
          <w:rFonts w:ascii="Times New Roman;Times;serif" w:hAnsi="Times New Roman;Times;serif"/>
          <w:color w:val="000000"/>
          <w:sz w:val="20"/>
        </w:rPr>
        <w:t xml:space="preserve"> of the Acquiror Disclosure Schedule and </w:t>
      </w:r>
      <w:r>
        <w:rPr>
          <w:rFonts w:ascii="Times New Roman;Times;serif" w:hAnsi="Times New Roman;Times;serif"/>
          <w:color w:val="000000"/>
          <w:sz w:val="20"/>
          <w:u w:val="single"/>
        </w:rPr>
        <w:t>Section 8.1(e)</w:t>
      </w:r>
      <w:r>
        <w:rPr>
          <w:rFonts w:ascii="Times New Roman;Times;serif" w:hAnsi="Times New Roman;Times;serif"/>
          <w:color w:val="000000"/>
          <w:sz w:val="20"/>
        </w:rPr>
        <w:t xml:space="preserve"> of the Company Disclosure Schedule, if any, shall have been obtained and shall remain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 Litigation</w:t>
      </w:r>
      <w:r>
        <w:rPr>
          <w:rFonts w:ascii="Times New Roman;Times;serif" w:hAnsi="Times New Roman;Times;serif"/>
          <w:color w:val="000000"/>
          <w:sz w:val="20"/>
        </w:rPr>
        <w:t xml:space="preserve">.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Net Asset Value Determinations</w:t>
      </w:r>
      <w:r>
        <w:rPr>
          <w:rFonts w:ascii="Times New Roman;Times;serif" w:hAnsi="Times New Roman;Times;serif"/>
          <w:color w:val="000000"/>
          <w:sz w:val="20"/>
        </w:rPr>
        <w:t xml:space="preserve">. The determination of both the Closing Acquiror Net Asset Value and the Closing Company Net Asset Value shall have been completed in accordance with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Financing</w:t>
      </w:r>
      <w:r>
        <w:rPr>
          <w:rFonts w:ascii="Times New Roman;Times;serif" w:hAnsi="Times New Roman;Times;serif"/>
          <w:color w:val="000000"/>
          <w:sz w:val="20"/>
        </w:rPr>
        <w:t xml:space="preserve">. The creditors under the Existing Company Credit Facility and the Company Notes shall have either agreed to the assumption by the Acquiror of the indebtedness evidenced thereby or such indebtedness shall have been repaid prior to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BDC Election</w:t>
      </w:r>
      <w:r>
        <w:rPr>
          <w:rFonts w:ascii="Times New Roman;Times;serif" w:hAnsi="Times New Roman;Times;serif"/>
          <w:color w:val="000000"/>
          <w:sz w:val="20"/>
        </w:rPr>
        <w:t xml:space="preserve">. Following receipt of the Company Requisite Vote at the Company Stockholders Meeting with respect to the BDC Election Matters, the Company shall have made the BDC Election in accordance with applicable Law.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Support Agreements</w:t>
      </w:r>
      <w:r>
        <w:rPr>
          <w:rFonts w:ascii="Times New Roman;Times;serif" w:hAnsi="Times New Roman;Times;serif"/>
          <w:color w:val="000000"/>
          <w:sz w:val="20"/>
        </w:rPr>
        <w:t xml:space="preserve">. Each of the Support Agreements shall have remained in full force and effect. </w:t>
      </w:r>
    </w:p>
    <w:p>
      <w:pPr>
        <w:pStyle w:val="TextBody"/>
        <w:bidi w:val="0"/>
        <w:spacing w:before="120" w:after="283"/>
        <w:ind w:left="0" w:right="0" w:firstLine="400"/>
        <w:jc w:val="both"/>
        <w:rPr>
          <w:rFonts w:ascii="Times New Roman;Times;serif" w:hAnsi="Times New Roman;Times;serif"/>
          <w:color w:val="000000"/>
          <w:sz w:val="20"/>
        </w:rPr>
      </w:pPr>
      <w:bookmarkStart w:id="419" w:name="tANXAS82"/>
      <w:bookmarkEnd w:id="419"/>
      <w:r>
        <w:rPr>
          <w:rFonts w:ascii="Times New Roman;Times;serif" w:hAnsi="Times New Roman;Times;serif"/>
          <w:color w:val="000000"/>
          <w:sz w:val="20"/>
        </w:rPr>
        <w:t>8.2 </w:t>
      </w:r>
      <w:r>
        <w:rPr>
          <w:rFonts w:ascii="Times New Roman;Times;serif" w:hAnsi="Times New Roman;Times;serif"/>
          <w:color w:val="000000"/>
          <w:sz w:val="20"/>
          <w:u w:val="single"/>
        </w:rPr>
        <w:t>Conditions to Obligations of Acquiror to Effect the Merger</w:t>
      </w:r>
      <w:r>
        <w:rPr>
          <w:rFonts w:ascii="Times New Roman;Times;serif" w:hAnsi="Times New Roman;Times;serif"/>
          <w:color w:val="000000"/>
          <w:sz w:val="20"/>
        </w:rPr>
        <w:t xml:space="preserve">. The obligations of Acquiror to effect the Merger are also subject to the satisfaction or waiver by Acquiror, at or prior to the Merger Effective Time,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the Company</w:t>
      </w:r>
      <w:r>
        <w:rPr>
          <w:rFonts w:ascii="Times New Roman;Times;serif" w:hAnsi="Times New Roman;Times;serif"/>
          <w:color w:val="000000"/>
          <w:sz w:val="20"/>
        </w:rPr>
        <w:t xml:space="preserve">. (i) The representations and warranties of the Company set forth in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shall be true and correct in all respects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Times;serif" w:hAnsi="Times New Roman;Times;serif"/>
          <w:color w:val="000000"/>
          <w:sz w:val="20"/>
          <w:u w:val="single"/>
        </w:rPr>
        <w:t>Section 3.8(b)</w:t>
      </w:r>
      <w:r>
        <w:rPr>
          <w:rFonts w:ascii="Times New Roman;Times;serif" w:hAnsi="Times New Roman;Times;serif"/>
          <w:color w:val="000000"/>
          <w:sz w:val="20"/>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Times;serif" w:hAnsi="Times New Roman;Times;serif"/>
          <w:color w:val="000000"/>
          <w:sz w:val="20"/>
          <w:u w:val="single"/>
        </w:rPr>
        <w:t>Sections 3.3(a)</w:t>
      </w:r>
      <w:r>
        <w:rPr>
          <w:rFonts w:ascii="Times New Roman;Times;serif" w:hAnsi="Times New Roman;Times;serif"/>
          <w:color w:val="000000"/>
          <w:sz w:val="20"/>
        </w:rPr>
        <w:t xml:space="preserve">, </w:t>
      </w:r>
      <w:r>
        <w:rPr>
          <w:rFonts w:ascii="Times New Roman;Times;serif" w:hAnsi="Times New Roman;Times;serif"/>
          <w:color w:val="000000"/>
          <w:sz w:val="20"/>
          <w:u w:val="single"/>
        </w:rPr>
        <w:t>3.3(b)(i)</w:t>
      </w:r>
      <w:r>
        <w:rPr>
          <w:rFonts w:ascii="Times New Roman;Times;serif" w:hAnsi="Times New Roman;Times;serif"/>
          <w:color w:val="000000"/>
          <w:sz w:val="20"/>
        </w:rPr>
        <w:t xml:space="preserve">, </w:t>
      </w:r>
      <w:r>
        <w:rPr>
          <w:rFonts w:ascii="Times New Roman;Times;serif" w:hAnsi="Times New Roman;Times;serif"/>
          <w:color w:val="000000"/>
          <w:sz w:val="20"/>
          <w:u w:val="single"/>
        </w:rPr>
        <w:t>3.7</w:t>
      </w:r>
      <w:r>
        <w:rPr>
          <w:rFonts w:ascii="Times New Roman;Times;serif" w:hAnsi="Times New Roman;Times;serif"/>
          <w:color w:val="000000"/>
          <w:sz w:val="20"/>
        </w:rPr>
        <w:t xml:space="preserve">, </w:t>
      </w:r>
      <w:r>
        <w:rPr>
          <w:rFonts w:ascii="Times New Roman;Times;serif" w:hAnsi="Times New Roman;Times;serif"/>
          <w:color w:val="000000"/>
          <w:sz w:val="20"/>
          <w:u w:val="single"/>
        </w:rPr>
        <w:t>3.20</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3.21</w:t>
      </w:r>
      <w:r>
        <w:rPr>
          <w:rFonts w:ascii="Times New Roman;Times;serif" w:hAnsi="Times New Roman;Times;serif"/>
          <w:color w:val="000000"/>
          <w:sz w:val="20"/>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Section 8.2(a)(iv)</w:t>
      </w:r>
      <w:r>
        <w:rPr>
          <w:rFonts w:ascii="Times New Roman;Times;serif" w:hAnsi="Times New Roman;Times;serif"/>
          <w:color w:val="000000"/>
          <w:sz w:val="20"/>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Representations and Warranties of the Company Manager</w:t>
      </w:r>
      <w:r>
        <w:rPr>
          <w:rFonts w:ascii="Times New Roman;Times;serif" w:hAnsi="Times New Roman;Times;serif"/>
          <w:color w:val="000000"/>
          <w:sz w:val="20"/>
        </w:rPr>
        <w:t xml:space="preserve">. The representations and warranties of the Company Manager set forth in Article V shall be true and correct as of the date of this Agreement and as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77966x1_n14_300-annexa_pg44"/>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Absence of the Company Material Adverse Effect</w:t>
      </w:r>
      <w:r>
        <w:rPr>
          <w:rFonts w:ascii="Times New Roman;Times;serif" w:hAnsi="Times New Roman;Times;serif"/>
          <w:color w:val="000000"/>
          <w:sz w:val="20"/>
        </w:rPr>
        <w:t xml:space="preserve">. Since the date of this Agreement there shall not have occurred any condition, change or event that, individually or in the aggregate, has had or would reasonably be expected to have, a Material Adverse Effect in respect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FIRPTA Certificate</w:t>
      </w:r>
      <w:r>
        <w:rPr>
          <w:rFonts w:ascii="Times New Roman;Times;serif" w:hAnsi="Times New Roman;Times;serif"/>
          <w:color w:val="000000"/>
          <w:sz w:val="20"/>
        </w:rPr>
        <w:t xml:space="preserve">.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Federal Tax Opinion</w:t>
      </w:r>
      <w:r>
        <w:rPr>
          <w:rFonts w:ascii="Times New Roman;Times;serif" w:hAnsi="Times New Roman;Times;serif"/>
          <w:color w:val="000000"/>
          <w:sz w:val="20"/>
        </w:rPr>
        <w:t xml:space="preserve">.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 </w:t>
      </w:r>
    </w:p>
    <w:p>
      <w:pPr>
        <w:pStyle w:val="TextBody"/>
        <w:bidi w:val="0"/>
        <w:spacing w:before="120" w:after="283"/>
        <w:ind w:left="0" w:right="0" w:firstLine="400"/>
        <w:jc w:val="both"/>
        <w:rPr>
          <w:rFonts w:ascii="Times New Roman;Times;serif" w:hAnsi="Times New Roman;Times;serif"/>
          <w:color w:val="000000"/>
          <w:sz w:val="20"/>
        </w:rPr>
      </w:pPr>
      <w:bookmarkStart w:id="421" w:name="tANXAS83"/>
      <w:bookmarkEnd w:id="421"/>
      <w:r>
        <w:rPr>
          <w:rFonts w:ascii="Times New Roman;Times;serif" w:hAnsi="Times New Roman;Times;serif"/>
          <w:color w:val="000000"/>
          <w:sz w:val="20"/>
        </w:rPr>
        <w:t>8.3 </w:t>
      </w:r>
      <w:r>
        <w:rPr>
          <w:rFonts w:ascii="Times New Roman;Times;serif" w:hAnsi="Times New Roman;Times;serif"/>
          <w:color w:val="000000"/>
          <w:sz w:val="20"/>
          <w:u w:val="single"/>
        </w:rPr>
        <w:t>Conditions to Obligations of the Company to Effect the Merger</w:t>
      </w:r>
      <w:r>
        <w:rPr>
          <w:rFonts w:ascii="Times New Roman;Times;serif" w:hAnsi="Times New Roman;Times;serif"/>
          <w:color w:val="000000"/>
          <w:sz w:val="20"/>
        </w:rPr>
        <w:t xml:space="preserve">. The obligation of the Company to effect the Merger is also subject to the satisfaction or waiver by the Company, at or prior to the Merger Effective Time,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Acquiror</w:t>
      </w:r>
      <w:r>
        <w:rPr>
          <w:rFonts w:ascii="Times New Roman;Times;serif" w:hAnsi="Times New Roman;Times;serif"/>
          <w:color w:val="000000"/>
          <w:sz w:val="20"/>
        </w:rPr>
        <w:t xml:space="preserve">. (i) The representations and warranties of Acquiror set forth in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shall be true and correct in all respects (other than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Acquiror set forth in </w:t>
      </w:r>
      <w:r>
        <w:rPr>
          <w:rFonts w:ascii="Times New Roman;Times;serif" w:hAnsi="Times New Roman;Times;serif"/>
          <w:color w:val="000000"/>
          <w:sz w:val="20"/>
          <w:u w:val="single"/>
        </w:rPr>
        <w:t>Section 4.8(b)</w:t>
      </w:r>
      <w:r>
        <w:rPr>
          <w:rFonts w:ascii="Times New Roman;Times;serif" w:hAnsi="Times New Roman;Times;serif"/>
          <w:color w:val="000000"/>
          <w:sz w:val="20"/>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Times;serif" w:hAnsi="Times New Roman;Times;serif"/>
          <w:color w:val="000000"/>
          <w:sz w:val="20"/>
          <w:u w:val="single"/>
        </w:rPr>
        <w:t>Sections 4.3(a)</w:t>
      </w:r>
      <w:r>
        <w:rPr>
          <w:rFonts w:ascii="Times New Roman;Times;serif" w:hAnsi="Times New Roman;Times;serif"/>
          <w:color w:val="000000"/>
          <w:sz w:val="20"/>
        </w:rPr>
        <w:t xml:space="preserve">, </w:t>
      </w:r>
      <w:r>
        <w:rPr>
          <w:rFonts w:ascii="Times New Roman;Times;serif" w:hAnsi="Times New Roman;Times;serif"/>
          <w:color w:val="000000"/>
          <w:sz w:val="20"/>
          <w:u w:val="single"/>
        </w:rPr>
        <w:t>4.3(b)(i)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4.7</w:t>
      </w:r>
      <w:r>
        <w:rPr>
          <w:rFonts w:ascii="Times New Roman;Times;serif" w:hAnsi="Times New Roman;Times;serif"/>
          <w:color w:val="000000"/>
          <w:sz w:val="20"/>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 xml:space="preserve">Section 8.3(a)(iv) </w:t>
      </w:r>
      <w:r>
        <w:rPr>
          <w:rFonts w:ascii="Times New Roman;Times;serif" w:hAnsi="Times New Roman;Times;serif"/>
          <w:color w:val="000000"/>
          <w:sz w:val="20"/>
        </w:rPr>
        <w:t xml:space="preserve">shall be deemed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77966x1_n14_300-annexa_pg45"/>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Representations and Warranties of the Acquiror Adviser</w:t>
      </w:r>
      <w:r>
        <w:rPr>
          <w:rFonts w:ascii="Times New Roman;Times;serif" w:hAnsi="Times New Roman;Times;serif"/>
          <w:color w:val="000000"/>
          <w:sz w:val="20"/>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herein to the contrary, the condition set forth in this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Performance of Obligations of Acquiror</w:t>
      </w:r>
      <w:r>
        <w:rPr>
          <w:rFonts w:ascii="Times New Roman;Times;serif" w:hAnsi="Times New Roman;Times;serif"/>
          <w:color w:val="000000"/>
          <w:sz w:val="20"/>
        </w:rPr>
        <w:t xml:space="preserve">.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Absence of Acquiror Material Adverse Effect</w:t>
      </w:r>
      <w:r>
        <w:rPr>
          <w:rFonts w:ascii="Times New Roman;Times;serif" w:hAnsi="Times New Roman;Times;serif"/>
          <w:color w:val="000000"/>
          <w:sz w:val="20"/>
        </w:rPr>
        <w:t xml:space="preserve">. Since the date of this Agreement, there shall not have occurred any condition, change or event that, individually or in the aggregate, has had or would reasonably be expected to have, a Material Adverse Effect in respect of Acquiror.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Federal Tax Opinion</w:t>
      </w:r>
      <w:r>
        <w:rPr>
          <w:rFonts w:ascii="Times New Roman;Times;serif" w:hAnsi="Times New Roman;Times;serif"/>
          <w:color w:val="000000"/>
          <w:sz w:val="20"/>
        </w:rPr>
        <w:t xml:space="preserve">.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 </w:t>
      </w:r>
    </w:p>
    <w:p>
      <w:pPr>
        <w:pStyle w:val="TextBody"/>
        <w:bidi w:val="0"/>
        <w:spacing w:before="120" w:after="283"/>
        <w:ind w:left="0" w:right="0" w:firstLine="400"/>
        <w:jc w:val="both"/>
        <w:rPr>
          <w:rFonts w:ascii="Times New Roman;Times;serif" w:hAnsi="Times New Roman;Times;serif"/>
          <w:color w:val="000000"/>
          <w:sz w:val="20"/>
        </w:rPr>
      </w:pPr>
      <w:bookmarkStart w:id="423" w:name="tANXAS84"/>
      <w:bookmarkEnd w:id="423"/>
      <w:r>
        <w:rPr>
          <w:rFonts w:ascii="Times New Roman;Times;serif" w:hAnsi="Times New Roman;Times;serif"/>
          <w:color w:val="000000"/>
          <w:sz w:val="20"/>
        </w:rPr>
        <w:t>8.4 </w:t>
      </w:r>
      <w:r>
        <w:rPr>
          <w:rFonts w:ascii="Times New Roman;Times;serif" w:hAnsi="Times New Roman;Times;serif"/>
          <w:color w:val="000000"/>
          <w:sz w:val="20"/>
          <w:u w:val="single"/>
        </w:rPr>
        <w:t>Frustration of Closing Conditions</w:t>
      </w:r>
      <w:r>
        <w:rPr>
          <w:rFonts w:ascii="Times New Roman;Times;serif" w:hAnsi="Times New Roman;Times;serif"/>
          <w:color w:val="000000"/>
          <w:sz w:val="20"/>
        </w:rPr>
        <w:t xml:space="preserve">. None of the Company or Acquiror may rely on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 </w:t>
      </w:r>
    </w:p>
    <w:p>
      <w:pPr>
        <w:pStyle w:val="TextBody"/>
        <w:bidi w:val="0"/>
        <w:spacing w:before="240" w:after="283"/>
        <w:jc w:val="center"/>
        <w:rPr>
          <w:rFonts w:ascii="Times New Roman;Times;serif" w:hAnsi="Times New Roman;Times;serif"/>
          <w:b/>
          <w:color w:val="000000"/>
          <w:sz w:val="20"/>
        </w:rPr>
      </w:pPr>
      <w:bookmarkStart w:id="424" w:name="tANXAA9"/>
      <w:bookmarkEnd w:id="424"/>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AND AMENDMENT </w:t>
      </w:r>
    </w:p>
    <w:p>
      <w:pPr>
        <w:pStyle w:val="TextBody"/>
        <w:bidi w:val="0"/>
        <w:spacing w:before="120" w:after="283"/>
        <w:ind w:left="0" w:right="0" w:firstLine="400"/>
        <w:jc w:val="both"/>
        <w:rPr>
          <w:rFonts w:ascii="Times New Roman;Times;serif" w:hAnsi="Times New Roman;Times;serif"/>
          <w:color w:val="000000"/>
          <w:sz w:val="20"/>
        </w:rPr>
      </w:pPr>
      <w:bookmarkStart w:id="425" w:name="tANXAS91"/>
      <w:bookmarkEnd w:id="425"/>
      <w:r>
        <w:rPr>
          <w:rFonts w:ascii="Times New Roman;Times;serif" w:hAnsi="Times New Roman;Times;serif"/>
          <w:color w:val="000000"/>
          <w:sz w:val="20"/>
        </w:rPr>
        <w:t>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at any time prior to the Merger Effective Time, whether before or after the Acquiror Requisite Vote has been obtained or Company Requisite Vote has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(a) by mutual consent of Acquiror and the Company in a written instrument authorized by each of the Acquiror Board (on the recommendation of the Acquiror Special Committee) and the Company Board (on the recommendation of Company Special Committee);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Acquiror or the Company,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77966x1_n14_300-annexa_pg46"/>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(ii) the Merger shall not have been consummated on or before June 30, 2027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9.1(b)(ii)</w:t>
      </w:r>
      <w:r>
        <w:rPr>
          <w:rFonts w:ascii="Times New Roman;Times;serif" w:hAnsi="Times New Roman;Times;serif"/>
          <w:color w:val="000000"/>
          <w:sz w:val="20"/>
        </w:rPr>
        <w:t xml:space="preserve"> shall not be available to any party whose failure to fulfill in any material respect any of its obligations under this Agreement has been the cause of, or resulted in, the event giving rise to the failure to close prior to the Termination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 stockholders of Acquiror shall have failed to approve the Acquiror Matters by the Acquiror Requisite Vote at a duly held meeting of Acquiror’s stockholders or at any adjournment or postponement thereof at which the Acquiror Stock Issuance has been voted upon;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w:t>
      </w:r>
      <w:r>
        <w:rPr>
          <w:rFonts w:ascii="Times New Roman;Times;serif" w:hAnsi="Times New Roman;Times;serif"/>
          <w:color w:val="000000"/>
          <w:sz w:val="20"/>
        </w:rPr>
        <w:t xml:space="preserve"> shall not be available to any party that has breached in any material respect its obligations under this Agreement in any manner that has been the principal cause of or resulted in the failure to consummate the Transactions;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the Company,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w:t>
      </w:r>
      <w:r>
        <w:rPr>
          <w:rFonts w:ascii="Times New Roman;Times;serif" w:hAnsi="Times New Roman;Times;serif"/>
          <w:color w:val="000000"/>
          <w:sz w:val="20"/>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t>
      </w:r>
      <w:r>
        <w:rPr>
          <w:rFonts w:ascii="Times New Roman;Times;serif" w:hAnsi="Times New Roman;Times;serif"/>
          <w:color w:val="000000"/>
          <w:sz w:val="20"/>
          <w:u w:val="single"/>
        </w:rPr>
        <w:t>8.3(a)</w:t>
      </w:r>
      <w:r>
        <w:rPr>
          <w:rFonts w:ascii="Times New Roman;Times;serif" w:hAnsi="Times New Roman;Times;serif"/>
          <w:color w:val="000000"/>
          <w:sz w:val="20"/>
        </w:rPr>
        <w:t xml:space="preserve">, </w:t>
      </w:r>
      <w:r>
        <w:rPr>
          <w:rFonts w:ascii="Times New Roman;Times;serif" w:hAnsi="Times New Roman;Times;serif"/>
          <w:color w:val="000000"/>
          <w:sz w:val="20"/>
          <w:u w:val="single"/>
        </w:rPr>
        <w:t>8.3(b)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8.3(c)</w:t>
      </w:r>
      <w:r>
        <w:rPr>
          <w:rFonts w:ascii="Times New Roman;Times;serif" w:hAnsi="Times New Roman;Times;serif"/>
          <w:color w:val="000000"/>
          <w:sz w:val="20"/>
        </w:rPr>
        <w:t xml:space="preserve"> not to be satisfied);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obtaining the Acquiror Requisite Vote (A) an Acquiror Adverse Recommendation Change and/or Takeover Approval shall have occurred, (B) 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 (D) 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(iii) Acquiror breaches, in any material respect, its obligations under </w:t>
      </w:r>
      <w:r>
        <w:rPr>
          <w:rFonts w:ascii="Times New Roman;Times;serif" w:hAnsi="Times New Roman;Times;serif"/>
          <w:color w:val="000000"/>
          <w:sz w:val="20"/>
          <w:u w:val="single"/>
        </w:rPr>
        <w:t>Section 7.6</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to enter into, and the Company enters into, a definitive Contract with respect to a Company Superior Proposal.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Acquiror,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w:t>
      </w:r>
      <w:r>
        <w:rPr>
          <w:rFonts w:ascii="Times New Roman;Times;serif" w:hAnsi="Times New Roman;Times;serif"/>
          <w:color w:val="000000"/>
          <w:sz w:val="20"/>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t>
      </w:r>
      <w:r>
        <w:rPr>
          <w:rFonts w:ascii="Times New Roman;Times;serif" w:hAnsi="Times New Roman;Times;serif"/>
          <w:color w:val="000000"/>
          <w:sz w:val="20"/>
          <w:u w:val="single"/>
        </w:rPr>
        <w:t>8.2(a)</w:t>
      </w:r>
      <w:r>
        <w:rPr>
          <w:rFonts w:ascii="Times New Roman;Times;serif" w:hAnsi="Times New Roman;Times;serif"/>
          <w:color w:val="000000"/>
          <w:sz w:val="20"/>
        </w:rPr>
        <w:t xml:space="preserve">, </w:t>
      </w:r>
      <w:r>
        <w:rPr>
          <w:rFonts w:ascii="Times New Roman;Times;serif" w:hAnsi="Times New Roman;Times;serif"/>
          <w:color w:val="000000"/>
          <w:sz w:val="20"/>
          <w:u w:val="single"/>
        </w:rPr>
        <w:t>8.2(b)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8.2(c)</w:t>
      </w:r>
      <w:r>
        <w:rPr>
          <w:rFonts w:ascii="Times New Roman;Times;serif" w:hAnsi="Times New Roman;Times;serif"/>
          <w:color w:val="000000"/>
          <w:sz w:val="20"/>
        </w:rPr>
        <w:t xml:space="preserve"> not to be satisfied);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obtaining Company Requisite Vote (A) a Company Adverse Recommendation Change and/or Takeover Approval shall have occurred, (B) the Company shall have failed to include in the Joint Proxy Statement/Prospectus the Company Board Recommendation, (C) a Takeover Proposal is publicly announced and the Company fails to issue, within 10 Business Days after such Takeover Proposal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77966x1_n14_300-annexa_pg47"/>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Company breaches, in any material respect, its obligations under </w:t>
      </w:r>
      <w:r>
        <w:rPr>
          <w:rFonts w:ascii="Times New Roman;Times;serif" w:hAnsi="Times New Roman;Times;serif"/>
          <w:color w:val="000000"/>
          <w:sz w:val="20"/>
          <w:u w:val="single"/>
        </w:rPr>
        <w:t>Section 7.6</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to enter into, and Acquiror enters into, a definitive Contract with respect to an Acquiror 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shall give written notice of such termination to the other party in accordance with </w:t>
      </w:r>
      <w:r>
        <w:rPr>
          <w:rFonts w:ascii="Times New Roman;Times;serif" w:hAnsi="Times New Roman;Times;serif"/>
          <w:color w:val="000000"/>
          <w:sz w:val="20"/>
          <w:u w:val="single"/>
        </w:rPr>
        <w:t>Section 11.2</w:t>
      </w:r>
      <w:r>
        <w:rPr>
          <w:rFonts w:ascii="Times New Roman;Times;serif" w:hAnsi="Times New Roman;Times;serif"/>
          <w:color w:val="000000"/>
          <w:sz w:val="20"/>
        </w:rPr>
        <w:t xml:space="preserve">, specifying the provision or provisions hereof pursuant to which such termination is effected. </w:t>
      </w:r>
    </w:p>
    <w:p>
      <w:pPr>
        <w:pStyle w:val="TextBody"/>
        <w:bidi w:val="0"/>
        <w:spacing w:before="160" w:after="283"/>
        <w:ind w:left="0" w:right="0" w:firstLine="400"/>
        <w:jc w:val="left"/>
        <w:rPr>
          <w:rFonts w:ascii="Times New Roman;Times;serif" w:hAnsi="Times New Roman;Times;serif"/>
          <w:color w:val="000000"/>
          <w:sz w:val="20"/>
        </w:rPr>
      </w:pPr>
      <w:bookmarkStart w:id="428" w:name="tANXAS92"/>
      <w:bookmarkEnd w:id="428"/>
      <w:r>
        <w:rPr>
          <w:rFonts w:ascii="Times New Roman;Times;serif" w:hAnsi="Times New Roman;Times;serif"/>
          <w:color w:val="000000"/>
          <w:sz w:val="20"/>
        </w:rPr>
        <w:t>9.2 </w:t>
      </w:r>
      <w:r>
        <w:rPr>
          <w:rFonts w:ascii="Times New Roman;Times;serif" w:hAnsi="Times New Roman;Times;serif"/>
          <w:color w:val="000000"/>
          <w:sz w:val="20"/>
          <w:u w:val="single"/>
        </w:rPr>
        <w:t>[Reserved]</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29" w:name="tANXAS93"/>
      <w:bookmarkEnd w:id="429"/>
      <w:r>
        <w:rPr>
          <w:rFonts w:ascii="Times New Roman;Times;serif" w:hAnsi="Times New Roman;Times;serif"/>
          <w:color w:val="000000"/>
          <w:sz w:val="20"/>
        </w:rPr>
        <w:t>9.3 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of termination of this Agreement by either Acquiror or the Company as provided in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Times;serif" w:hAnsi="Times New Roman;Times;serif"/>
          <w:color w:val="000000"/>
          <w:sz w:val="20"/>
          <w:u w:val="single"/>
        </w:rPr>
        <w:t>Section 7.9(b)</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xml:space="preserve"> (including, in each case, any applicable definitions) shall survive any termination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 </w:t>
      </w:r>
    </w:p>
    <w:p>
      <w:pPr>
        <w:pStyle w:val="TextBody"/>
        <w:bidi w:val="0"/>
        <w:spacing w:before="160" w:after="283"/>
        <w:ind w:left="0" w:right="0" w:firstLine="400"/>
        <w:jc w:val="left"/>
        <w:rPr>
          <w:rFonts w:ascii="Times New Roman;Times;serif" w:hAnsi="Times New Roman;Times;serif"/>
          <w:color w:val="000000"/>
          <w:sz w:val="20"/>
        </w:rPr>
      </w:pPr>
      <w:bookmarkStart w:id="430" w:name="tANXAS94"/>
      <w:bookmarkEnd w:id="430"/>
      <w:r>
        <w:rPr>
          <w:rFonts w:ascii="Times New Roman;Times;serif" w:hAnsi="Times New Roman;Times;serif"/>
          <w:color w:val="000000"/>
          <w:sz w:val="20"/>
        </w:rPr>
        <w:t>9.4 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with respect to costs and expenses of printing and mailing the Registration Statement and all filing and other fees paid to the SEC in connection with the Merger which shall be borne in accordance with </w:t>
      </w:r>
      <w:r>
        <w:rPr>
          <w:rFonts w:ascii="Times New Roman;Times;serif" w:hAnsi="Times New Roman;Times;serif"/>
          <w:color w:val="000000"/>
          <w:sz w:val="20"/>
          <w:u w:val="single"/>
        </w:rPr>
        <w:t>Section 9.4(b)</w:t>
      </w:r>
      <w:r>
        <w:rPr>
          <w:rFonts w:ascii="Times New Roman;Times;serif" w:hAnsi="Times New Roman;Times;serif"/>
          <w:color w:val="000000"/>
          <w:sz w:val="20"/>
        </w:rPr>
        <w:t xml:space="preserve">,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 </w:t>
      </w:r>
    </w:p>
    <w:p>
      <w:pPr>
        <w:pStyle w:val="TextBody"/>
        <w:bidi w:val="0"/>
        <w:spacing w:before="120" w:after="283"/>
        <w:ind w:left="0" w:right="0" w:firstLine="400"/>
        <w:jc w:val="both"/>
        <w:rPr>
          <w:rFonts w:ascii="Times New Roman;Times;serif" w:hAnsi="Times New Roman;Times;serif"/>
          <w:color w:val="000000"/>
          <w:sz w:val="20"/>
        </w:rPr>
      </w:pPr>
      <w:bookmarkStart w:id="431" w:name="tANXAS95"/>
      <w:bookmarkEnd w:id="431"/>
      <w:r>
        <w:rPr>
          <w:rFonts w:ascii="Times New Roman;Times;serif" w:hAnsi="Times New Roman;Times;serif"/>
          <w:color w:val="000000"/>
          <w:sz w:val="20"/>
        </w:rPr>
        <w:t>9.5 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This Agreement may be amended by the parties, by action taken or authorized by their respective Boards of Directors, at any time before or after Company Requisite Vote has been obtained or the Acquiror Requisite Vote has been obtained;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XI</w:t>
      </w:r>
      <w:r>
        <w:rPr>
          <w:rFonts w:ascii="Times New Roman;Times;serif" w:hAnsi="Times New Roman;Times;serif"/>
          <w:color w:val="000000"/>
          <w:sz w:val="20"/>
        </w:rPr>
        <w:t xml:space="preserve"> and (ii) the execution of such amendment shall not require the Company Manager unless such amendment relates to </w:t>
      </w:r>
      <w:r>
        <w:rPr>
          <w:rFonts w:ascii="Times New Roman;Times;serif" w:hAnsi="Times New Roman;Times;serif"/>
          <w:color w:val="000000"/>
          <w:sz w:val="20"/>
          <w:u w:val="single"/>
        </w:rPr>
        <w:t>Section 1.7</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XI</w:t>
      </w:r>
      <w:r>
        <w:rPr>
          <w:rFonts w:ascii="Times New Roman;Times;serif" w:hAnsi="Times New Roman;Times;serif"/>
          <w:color w:val="000000"/>
          <w:sz w:val="20"/>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by or on behalf of the Acquiror or the Company under or with respect to this Agreement without first obtaining the approval of the Acquiror Special Committee or the Company Special Committee, as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77966x1_n14_300-annexa_pg48"/>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433" w:name="tANXAS96"/>
      <w:bookmarkEnd w:id="433"/>
      <w:r>
        <w:rPr>
          <w:rFonts w:ascii="Times New Roman;Times;serif" w:hAnsi="Times New Roman;Times;serif"/>
          <w:color w:val="000000"/>
          <w:sz w:val="20"/>
        </w:rPr>
        <w:t>9.6 </w:t>
      </w:r>
      <w:r>
        <w:rPr>
          <w:rFonts w:ascii="Times New Roman;Times;serif" w:hAnsi="Times New Roman;Times;serif"/>
          <w:color w:val="000000"/>
          <w:sz w:val="20"/>
          <w:u w:val="single"/>
        </w:rPr>
        <w:t>Extension; Waiver</w:t>
      </w:r>
      <w:r>
        <w:rPr>
          <w:rFonts w:ascii="Times New Roman;Times;serif" w:hAnsi="Times New Roman;Times;serif"/>
          <w:color w:val="000000"/>
          <w:sz w:val="20"/>
        </w:rPr>
        <w:t xml:space="preserve">.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 </w:t>
      </w:r>
    </w:p>
    <w:p>
      <w:pPr>
        <w:pStyle w:val="TextBody"/>
        <w:bidi w:val="0"/>
        <w:spacing w:before="410" w:after="283"/>
        <w:jc w:val="center"/>
        <w:rPr>
          <w:rFonts w:ascii="Times New Roman;Times;serif" w:hAnsi="Times New Roman;Times;serif"/>
          <w:b/>
          <w:color w:val="000000"/>
          <w:sz w:val="20"/>
        </w:rPr>
      </w:pPr>
      <w:bookmarkStart w:id="434" w:name="tANXAA10"/>
      <w:bookmarkEnd w:id="434"/>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Acquiror Matters</w:t>
      </w:r>
      <w:r>
        <w:rPr>
          <w:rFonts w:ascii="Times New Roman;Times;serif" w:hAnsi="Times New Roman;Times;serif"/>
          <w:color w:val="000000"/>
          <w:sz w:val="20"/>
        </w:rPr>
        <w:t xml:space="preserve">” means (i) the Acquiror Stock Issuance; (ii) this Agreement, including the Merger and the other Transactions contemplated hereby, and (iii) any other matters required to be approved or adopted by the stockholders of the Acquiror in order to effect the Transactions.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Acquiror Requisite Vote</w:t>
      </w:r>
      <w:r>
        <w:rPr>
          <w:rFonts w:ascii="Times New Roman;Times;serif" w:hAnsi="Times New Roman;Times;serif"/>
          <w:color w:val="000000"/>
          <w:sz w:val="20"/>
        </w:rPr>
        <w:t xml:space="preserve">”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Acquiror Superior Proposal</w:t>
      </w:r>
      <w:r>
        <w:rPr>
          <w:rFonts w:ascii="Times New Roman;Times;serif" w:hAnsi="Times New Roman;Times;serif"/>
          <w:color w:val="000000"/>
          <w:sz w:val="20"/>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a Saturday or Sunday or a day on which banks are required or authorized to close in The City of New York.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Incentive Plan</w:t>
      </w:r>
      <w:r>
        <w:rPr>
          <w:rFonts w:ascii="Times New Roman;Times;serif" w:hAnsi="Times New Roman;Times;serif"/>
          <w:color w:val="000000"/>
          <w:sz w:val="20"/>
        </w:rPr>
        <w:t xml:space="preserve">” means The Chicago Atlantic Real Estate Finance, Inc. 2021 Omnibus Incentive Plan, as may be amended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Management Agreement</w:t>
      </w:r>
      <w:r>
        <w:rPr>
          <w:rFonts w:ascii="Times New Roman;Times;serif" w:hAnsi="Times New Roman;Times;serif"/>
          <w:color w:val="000000"/>
          <w:sz w:val="20"/>
        </w:rPr>
        <w:t xml:space="preserve">” means the management agreement between the Company and the Company Manager in effect as of the date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77966x1_n14_300-annexa_pg49"/>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Company Notes</w:t>
      </w:r>
      <w:r>
        <w:rPr>
          <w:rFonts w:ascii="Times New Roman;Times;serif" w:hAnsi="Times New Roman;Times;serif"/>
          <w:color w:val="000000"/>
          <w:sz w:val="20"/>
        </w:rPr>
        <w:t xml:space="preserve">” means the senior notes issued and outstanding pursuant to that certain Loan Agreement, dated as of October 18, 2024, among the Company and the financial institutions party thereto, as Lenders.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Requisite Vote</w:t>
      </w:r>
      <w:r>
        <w:rPr>
          <w:rFonts w:ascii="Times New Roman;Times;serif" w:hAnsi="Times New Roman;Times;serif"/>
          <w:color w:val="000000"/>
          <w:sz w:val="20"/>
        </w:rPr>
        <w:t xml:space="preserve">”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Restricted Shares</w:t>
      </w:r>
      <w:r>
        <w:rPr>
          <w:rFonts w:ascii="Times New Roman;Times;serif" w:hAnsi="Times New Roman;Times;serif"/>
          <w:color w:val="000000"/>
          <w:sz w:val="20"/>
        </w:rPr>
        <w:t xml:space="preserve">” means the shares of Restricted Stock issued pursuant to the Company Incentive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Superior Proposal</w:t>
      </w:r>
      <w:r>
        <w:rPr>
          <w:rFonts w:ascii="Times New Roman;Times;serif" w:hAnsi="Times New Roman;Times;serif"/>
          <w:color w:val="000000"/>
          <w:sz w:val="20"/>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Consolidated Subsidiary</w:t>
      </w:r>
      <w:r>
        <w:rPr>
          <w:rFonts w:ascii="Times New Roman;Times;serif" w:hAnsi="Times New Roman;Times;serif"/>
          <w:color w:val="000000"/>
          <w:sz w:val="20"/>
        </w:rPr>
        <w:t xml:space="preserve">”, when used with respect to any Person, means any corporation, partnership, limited liability company or other Person, whether incorporated or unincorporated, that is consolidated with such Person for financial reporting purposes under GAAP.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Contract</w:t>
      </w:r>
      <w:r>
        <w:rPr>
          <w:rFonts w:ascii="Times New Roman;Times;serif" w:hAnsi="Times New Roman;Times;serif"/>
          <w:color w:val="000000"/>
          <w:sz w:val="20"/>
        </w:rPr>
        <w:t xml:space="preserve">”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EDGAR</w:t>
      </w:r>
      <w:r>
        <w:rPr>
          <w:rFonts w:ascii="Times New Roman;Times;serif" w:hAnsi="Times New Roman;Times;serif"/>
          <w:color w:val="000000"/>
          <w:sz w:val="20"/>
        </w:rPr>
        <w:t xml:space="preserve">” means the SEC’s Electronic Data Gathering Analysis and Retrieval System.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means applicable Laws regulating, relating to or imposing liability or standards of conduct concerning the use, storage, handling, disposal or release of any Hazardous Substance, as in effect on the date of this Agreement.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Exchange Ratio</w:t>
      </w:r>
      <w:r>
        <w:rPr>
          <w:rFonts w:ascii="Times New Roman;Times;serif" w:hAnsi="Times New Roman;Times;serif"/>
          <w:color w:val="000000"/>
          <w:sz w:val="20"/>
        </w:rPr>
        <w:t xml:space="preserve">” means the ratio of the Closing Company Net Asset Value to the Closing Acquiror Net Asset Value, rounded to the nearest four decimal places, in each case as determined in accordance with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and subject to adjustment in the manner set forth in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Existing Acquiror Credit Facility</w:t>
      </w:r>
      <w:r>
        <w:rPr>
          <w:rFonts w:ascii="Times New Roman;Times;serif" w:hAnsi="Times New Roman;Times;serif"/>
          <w:color w:val="000000"/>
          <w:sz w:val="20"/>
        </w:rPr>
        <w:t xml:space="preserve">” means that certain Senior Secured Revolving Credit Agreement dated as of February 11, 2025, among Acquiror, the Lenders and Issuing Banks party from time to time hereto, and Western Alliance Trust Company, N.A., as Administrative Agent.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Existing Company Credit Facility</w:t>
      </w:r>
      <w:r>
        <w:rPr>
          <w:rFonts w:ascii="Times New Roman;Times;serif" w:hAnsi="Times New Roman;Times;serif"/>
          <w:color w:val="000000"/>
          <w:sz w:val="20"/>
        </w:rPr>
        <w:t xml:space="preserve">”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77966x1_n14_300-annexa_pg50"/>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Governmental Entity</w:t>
      </w:r>
      <w:r>
        <w:rPr>
          <w:rFonts w:ascii="Times New Roman;Times;serif" w:hAnsi="Times New Roman;Times;serif"/>
          <w:color w:val="000000"/>
          <w:sz w:val="20"/>
        </w:rPr>
        <w:t xml:space="preserve">”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Hazardous Substance</w:t>
      </w:r>
      <w:r>
        <w:rPr>
          <w:rFonts w:ascii="Times New Roman;Times;serif" w:hAnsi="Times New Roman;Times;serif"/>
          <w:color w:val="000000"/>
          <w:sz w:val="20"/>
        </w:rPr>
        <w:t xml:space="preserve">” means any substance to the extent presently listed, defined, designated or classified as hazardous, toxic or radioactive under any applicable Environmental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Independent Director</w:t>
      </w:r>
      <w:r>
        <w:rPr>
          <w:rFonts w:ascii="Times New Roman;Times;serif" w:hAnsi="Times New Roman;Times;serif"/>
          <w:color w:val="000000"/>
          <w:sz w:val="20"/>
        </w:rPr>
        <w:t xml:space="preserve">” means, with respect to the Company or Acquiror, each director who is not an “interested person” of the Company or Acquiror, as the case may be, as defined in the Investment Company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Intervening Event</w:t>
      </w:r>
      <w:r>
        <w:rPr>
          <w:rFonts w:ascii="Times New Roman;Times;serif" w:hAnsi="Times New Roman;Times;serif"/>
          <w:color w:val="000000"/>
          <w:sz w:val="20"/>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Investment Advisers Act</w:t>
      </w:r>
      <w:r>
        <w:rPr>
          <w:rFonts w:ascii="Times New Roman;Times;serif" w:hAnsi="Times New Roman;Times;serif"/>
          <w:color w:val="000000"/>
          <w:sz w:val="20"/>
        </w:rPr>
        <w:t xml:space="preserve">” means the Investment Advisers Act of 1940,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Investment Company Act</w:t>
      </w:r>
      <w:r>
        <w:rPr>
          <w:rFonts w:ascii="Times New Roman;Times;serif" w:hAnsi="Times New Roman;Times;serif"/>
          <w:color w:val="000000"/>
          <w:sz w:val="20"/>
        </w:rPr>
        <w:t xml:space="preserve">” means the Investment Company Act of 1940,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federal, state, local or foreign law (including the common law), statute, code, ordinance, rule, regulation, judgment, order, writ, decree or injunction or any Permit or similar right granted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Liens</w:t>
      </w:r>
      <w:r>
        <w:rPr>
          <w:rFonts w:ascii="Times New Roman;Times;serif" w:hAnsi="Times New Roman;Times;serif"/>
          <w:color w:val="000000"/>
          <w:sz w:val="20"/>
        </w:rPr>
        <w:t xml:space="preserve">” means all security interests, liens, claims, pledges, easements, mortgages, rights of first offer or refusal or other encumbrances.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77966x1_n14_300-annexa_pg51"/>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means, with respect to the Company or Acquiror, as the case may be, any event, development, change, effect or occurrence (each, an “</w:t>
      </w:r>
      <w:r>
        <w:rPr>
          <w:rFonts w:ascii="Times New Roman;Times;serif" w:hAnsi="Times New Roman;Times;serif"/>
          <w:color w:val="000000"/>
          <w:sz w:val="20"/>
          <w:u w:val="single"/>
        </w:rPr>
        <w:t>Effect</w:t>
      </w:r>
      <w:r>
        <w:rPr>
          <w:rFonts w:ascii="Times New Roman;Times;serif" w:hAnsi="Times New Roman;Times;serif"/>
          <w:color w:val="000000"/>
          <w:sz w:val="20"/>
        </w:rPr>
        <w:t xml:space="preserve">”)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Order</w:t>
      </w:r>
      <w:r>
        <w:rPr>
          <w:rFonts w:ascii="Times New Roman;Times;serif" w:hAnsi="Times New Roman;Times;serif"/>
          <w:color w:val="000000"/>
          <w:sz w:val="20"/>
        </w:rPr>
        <w:t xml:space="preserve">” means any writ, injunction, judgment, order or decree entered, issued, made or rendered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w:t>
      </w:r>
      <w:r>
        <w:rPr>
          <w:rFonts w:ascii="Times New Roman;Times;serif" w:hAnsi="Times New Roman;Times;serif"/>
          <w:color w:val="000000"/>
          <w:sz w:val="20"/>
        </w:rPr>
        <w:t xml:space="preserve">” means any license, permit, variance, exemption, approval, qualification, or Order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Indebtedness</w:t>
      </w:r>
      <w:r>
        <w:rPr>
          <w:rFonts w:ascii="Times New Roman;Times;serif" w:hAnsi="Times New Roman;Times;serif"/>
          <w:color w:val="000000"/>
          <w:sz w:val="20"/>
        </w:rPr>
        <w:t xml:space="preserve">”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(general or limited) partnership, a corporation, a limited liability company, an association, a trust, a joint venture, a Governmental Entity or other legal entity or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Post-BDC Election Approvals</w:t>
      </w:r>
      <w:r>
        <w:rPr>
          <w:rFonts w:ascii="Times New Roman;Times;serif" w:hAnsi="Times New Roman;Times;serif"/>
          <w:color w:val="000000"/>
          <w:sz w:val="20"/>
        </w:rPr>
        <w:t xml:space="preserve">” means those approvals required to be made by the Company Board (upon recommendation of the Company Special Committee) pursuant to Rule 17a-8 of the Investment Company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Previously Disclosed</w:t>
      </w:r>
      <w:r>
        <w:rPr>
          <w:rFonts w:ascii="Times New Roman;Times;serif" w:hAnsi="Times New Roman;Times;serif"/>
          <w:color w:val="000000"/>
          <w:sz w:val="20"/>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means an action, suit, arbitration, investigation, examination, litigation, lawsuit or other proceeding, whether civil, criminal or administrative.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77966x1_n14_300-annexa_pg52"/>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Regulatory Approvals</w:t>
      </w:r>
      <w:r>
        <w:rPr>
          <w:rFonts w:ascii="Times New Roman;Times;serif" w:hAnsi="Times New Roman;Times;serif"/>
          <w:color w:val="000000"/>
          <w:sz w:val="20"/>
        </w:rPr>
        <w:t xml:space="preserve">” means all applications and notices with, and receipt of consents, authorizations, approvals, exemptions or nonobjections from any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and the rules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Takeover Proposal</w:t>
      </w:r>
      <w:r>
        <w:rPr>
          <w:rFonts w:ascii="Times New Roman;Times;serif" w:hAnsi="Times New Roman;Times;serif"/>
          <w:color w:val="000000"/>
          <w:sz w:val="20"/>
        </w:rPr>
        <w:t xml:space="preserve">”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Tax</w:t>
      </w:r>
      <w:r>
        <w:rPr>
          <w:rFonts w:ascii="Times New Roman;Times;serif" w:hAnsi="Times New Roman;Times;serif"/>
          <w:color w:val="000000"/>
          <w:sz w:val="20"/>
        </w:rPr>
        <w:t xml:space="preserve">”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Tax Dividend</w:t>
      </w:r>
      <w:r>
        <w:rPr>
          <w:rFonts w:ascii="Times New Roman;Times;serif" w:hAnsi="Times New Roman;Times;serif"/>
          <w:color w:val="000000"/>
          <w:sz w:val="20"/>
        </w:rPr>
        <w:t xml:space="preserve">”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Tax Return</w:t>
      </w:r>
      <w:r>
        <w:rPr>
          <w:rFonts w:ascii="Times New Roman;Times;serif" w:hAnsi="Times New Roman;Times;serif"/>
          <w:color w:val="000000"/>
          <w:sz w:val="20"/>
        </w:rPr>
        <w:t xml:space="preserve">”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xml:space="preserve">” shall mean a day on which shares of Acquiror Common Stock are traded on the NASDAQ.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Transactions</w:t>
      </w:r>
      <w:r>
        <w:rPr>
          <w:rFonts w:ascii="Times New Roman;Times;serif" w:hAnsi="Times New Roman;Times;serif"/>
          <w:color w:val="000000"/>
          <w:sz w:val="20"/>
        </w:rPr>
        <w:t xml:space="preserve">” means the transactions contemplated by this Agreement, including the Merger.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means all final and temporary federal income tax regulations, as amended from time to time, issued under the Code by the United States Treasury Department.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Definitions </w:t>
      </w:r>
    </w:p>
    <w:tbl>
      <w:tblPr>
        <w:tblW w:w="6020" w:type="dxa"/>
        <w:jc w:val="left"/>
        <w:tblInd w:w="0" w:type="dxa"/>
        <w:tblLayout w:type="fixed"/>
        <w:tblCellMar>
          <w:top w:w="0" w:type="dxa"/>
          <w:left w:w="0" w:type="dxa"/>
          <w:bottom w:w="0" w:type="dxa"/>
          <w:right w:w="0" w:type="dxa"/>
        </w:tblCellMar>
      </w:tblPr>
      <w:tblGrid>
        <w:gridCol w:w="4430"/>
        <w:gridCol w:w="140"/>
        <w:gridCol w:w="140"/>
        <w:gridCol w:w="1310"/>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44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7.7(a)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Adviser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4.3(a)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4.1(b)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4.2)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4.1(b)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11.9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Insurance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4.15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Intellectual Property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4.16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Intervening Event Notice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Intervening Event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7.7(e)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Material Contracts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4.14(a) </w:t>
            </w:r>
          </w:p>
        </w:tc>
      </w:tr>
      <w:tr>
        <w:trPr/>
        <w:tc>
          <w:tcPr>
            <w:tcW w:w="4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77966x1_n14_300-annexa_pg53"/>
        <w:bookmarkEnd w:id="439"/>
        <w:r>
          <w:rPr>
            <w:rStyle w:val="InternetLink"/>
            <w:rFonts w:ascii="Times New Roman;Times;Serif" w:hAnsi="Times New Roman;Times;Serif"/>
            <w:b/>
            <w:caps w:val="false"/>
            <w:smallCaps w:val="false"/>
            <w:color w:val="000000"/>
            <w:sz w:val="16"/>
          </w:rPr>
          <w:t>TABLE OF CONTENTS</w:t>
        </w:r>
      </w:hyperlink>
    </w:p>
    <w:tbl>
      <w:tblPr>
        <w:tblW w:w="6095" w:type="dxa"/>
        <w:jc w:val="left"/>
        <w:tblInd w:w="0" w:type="dxa"/>
        <w:tblLayout w:type="fixed"/>
        <w:tblCellMar>
          <w:top w:w="0" w:type="dxa"/>
          <w:left w:w="0" w:type="dxa"/>
          <w:bottom w:w="0" w:type="dxa"/>
          <w:right w:w="0" w:type="dxa"/>
        </w:tblCellMar>
      </w:tblPr>
      <w:tblGrid>
        <w:gridCol w:w="4505"/>
        <w:gridCol w:w="140"/>
        <w:gridCol w:w="140"/>
        <w:gridCol w:w="1310"/>
      </w:tblGrid>
      <w:tr>
        <w:trPr/>
        <w:tc>
          <w:tcPr>
            <w:tcW w:w="4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4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4.5(a)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Statement of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4.6(b)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Stock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Stockholders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4.3(a)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Transaction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Acquiror 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4.2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Adviser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V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Applicable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3.5(a)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1.4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Bankruptcy and Equity Exception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BDC 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BDC Election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BDO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Acquiror Net Asset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2.6(a)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Company Net Asset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2.6(b)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Balance Sheet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3.6(b)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BDC Election Matters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3.1(b)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3.1(b)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11.9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Insurance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3.15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Intellectual Property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 Notice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7.8(e)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7.8(e)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3.14(a)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Merger Matters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Reports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3.5(a)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D&amp;O Insurance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7.5(b)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2.6(a)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11.9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Article X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Benefit Plans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3.13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GAAP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4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77966x1_n14_300-annexa_pg54"/>
        <w:bookmarkEnd w:id="440"/>
        <w:r>
          <w:rPr>
            <w:rStyle w:val="InternetLink"/>
            <w:rFonts w:ascii="Times New Roman;Times;Serif" w:hAnsi="Times New Roman;Times;Serif"/>
            <w:b/>
            <w:caps w:val="false"/>
            <w:smallCaps w:val="false"/>
            <w:color w:val="000000"/>
            <w:sz w:val="16"/>
          </w:rPr>
          <w:t>TABLE OF CONTENTS</w:t>
        </w:r>
      </w:hyperlink>
    </w:p>
    <w:tbl>
      <w:tblPr>
        <w:tblW w:w="4850" w:type="dxa"/>
        <w:jc w:val="left"/>
        <w:tblInd w:w="0" w:type="dxa"/>
        <w:tblLayout w:type="fixed"/>
        <w:tblCellMar>
          <w:top w:w="0" w:type="dxa"/>
          <w:left w:w="0" w:type="dxa"/>
          <w:bottom w:w="0" w:type="dxa"/>
          <w:right w:w="0" w:type="dxa"/>
        </w:tblCellMar>
      </w:tblPr>
      <w:tblGrid>
        <w:gridCol w:w="3110"/>
        <w:gridCol w:w="140"/>
        <w:gridCol w:w="140"/>
        <w:gridCol w:w="1460"/>
      </w:tblGrid>
      <w:tr>
        <w:trPr/>
        <w:tc>
          <w:tcPr>
            <w:tcW w:w="31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r>
        <w:trPr/>
        <w:tc>
          <w:tcPr>
            <w:tcW w:w="31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Intellectual Property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Company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3.11(b)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Joint Proxy Statement/Prospectus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3.4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1.6(b)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1.4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BDC Advisory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of Acquiror Superior Proposal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7.7(b)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of Company Superior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7.8(b)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Paying and 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3.4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7.6(a)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Sarbanes-Oxley 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3.6(f)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SDAT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1.4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Support Agreements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Tail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7.5(b)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Takeover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7.7(a)(ii)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Takeover Statutes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3.20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9.1(b)(ii)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3.2(a)</w:t>
            </w:r>
          </w:p>
        </w:tc>
      </w:tr>
      <w:tr>
        <w:trPr/>
        <w:tc>
          <w:tcPr>
            <w:tcW w:w="31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r>
    </w:tbl>
    <w:p>
      <w:pPr>
        <w:pStyle w:val="TextBody"/>
        <w:bidi w:val="0"/>
        <w:spacing w:before="385" w:after="283"/>
        <w:jc w:val="center"/>
        <w:rPr>
          <w:rFonts w:ascii="Times New Roman;Times;serif" w:hAnsi="Times New Roman;Times;serif"/>
          <w:b/>
          <w:color w:val="000000"/>
          <w:sz w:val="20"/>
        </w:rPr>
      </w:pPr>
      <w:bookmarkStart w:id="441" w:name="tANXAA11"/>
      <w:bookmarkEnd w:id="441"/>
      <w:r>
        <w:rPr>
          <w:rFonts w:ascii="Times New Roman;Times;serif" w:hAnsi="Times New Roman;Times;serif"/>
          <w:b/>
          <w:color w:val="000000"/>
          <w:sz w:val="20"/>
        </w:rPr>
        <w:t xml:space="preserve">ARTICLE XI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bookmarkStart w:id="442" w:name="tANXAS111"/>
      <w:bookmarkEnd w:id="442"/>
      <w:r>
        <w:rPr>
          <w:rFonts w:ascii="Times New Roman;Times;serif" w:hAnsi="Times New Roman;Times;serif"/>
          <w:color w:val="000000"/>
          <w:sz w:val="20"/>
        </w:rPr>
        <w:t>11.1 </w:t>
      </w:r>
      <w:r>
        <w:rPr>
          <w:rFonts w:ascii="Times New Roman;Times;serif" w:hAnsi="Times New Roman;Times;serif"/>
          <w:color w:val="000000"/>
          <w:sz w:val="20"/>
          <w:u w:val="single"/>
        </w:rPr>
        <w:t>Nonsurvival of Representations, Warranties and Agreements</w:t>
      </w:r>
      <w:r>
        <w:rPr>
          <w:rFonts w:ascii="Times New Roman;Times;serif" w:hAnsi="Times New Roman;Times;serif"/>
          <w:color w:val="000000"/>
          <w:sz w:val="20"/>
        </w:rPr>
        <w:t xml:space="preserve">. None of the representations, warranties, covenants and agreements set forth in this Agreement or in any instrument delivered pursuant to this Agreement shall survive the Merger Effective Time, except for and subject to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and for those other covenants and agreements contained in this Agreement that by their express terms apply or are to be performed in whole or in part after the Merger Effective Time. </w:t>
      </w:r>
    </w:p>
    <w:p>
      <w:pPr>
        <w:pStyle w:val="TextBody"/>
        <w:bidi w:val="0"/>
        <w:spacing w:before="120" w:after="283"/>
        <w:ind w:left="0" w:right="0" w:firstLine="400"/>
        <w:jc w:val="both"/>
        <w:rPr>
          <w:rFonts w:ascii="Times New Roman;Times;serif" w:hAnsi="Times New Roman;Times;serif"/>
          <w:color w:val="000000"/>
          <w:sz w:val="20"/>
        </w:rPr>
      </w:pPr>
      <w:bookmarkStart w:id="443" w:name="tANXAS112"/>
      <w:bookmarkEnd w:id="443"/>
      <w:r>
        <w:rPr>
          <w:rFonts w:ascii="Times New Roman;Times;serif" w:hAnsi="Times New Roman;Times;serif"/>
          <w:color w:val="000000"/>
          <w:sz w:val="20"/>
        </w:rPr>
        <w:t>11.2 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 </w:t>
      </w:r>
    </w:p>
    <w:tbl>
      <w:tblPr>
        <w:tblW w:w="4125" w:type="dxa"/>
        <w:jc w:val="left"/>
        <w:tblInd w:w="0" w:type="dxa"/>
        <w:tblLayout w:type="fixed"/>
        <w:tblCellMar>
          <w:top w:w="0" w:type="dxa"/>
          <w:left w:w="0" w:type="dxa"/>
          <w:bottom w:w="0" w:type="dxa"/>
          <w:right w:w="0" w:type="dxa"/>
        </w:tblCellMar>
      </w:tblPr>
      <w:tblGrid>
        <w:gridCol w:w="155"/>
        <w:gridCol w:w="140"/>
        <w:gridCol w:w="140"/>
        <w:gridCol w:w="60"/>
        <w:gridCol w:w="140"/>
        <w:gridCol w:w="140"/>
        <w:gridCol w:w="33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Acquiror, to: </w:t>
            </w:r>
          </w:p>
        </w:tc>
      </w:tr>
      <w:tr>
        <w:trPr/>
        <w:tc>
          <w:tcPr>
            <w:tcW w:w="4125"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Suite 1800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Umesh Mahajan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umahajan@chicagoatlantic.com </w:t>
            </w:r>
          </w:p>
        </w:tc>
      </w:tr>
      <w:tr>
        <w:trPr/>
        <w:tc>
          <w:tcPr>
            <w:tcW w:w="4125" w:type="dxa"/>
            <w:gridSpan w:val="7"/>
            <w:tcBorders/>
            <w:vAlign w:val="center"/>
          </w:tcPr>
          <w:p>
            <w:pPr>
              <w:pStyle w:val="TableContents"/>
              <w:bidi w:val="0"/>
              <w:spacing w:before="0" w:after="0"/>
              <w:jc w:val="left"/>
              <w:rPr>
                <w:color w:val="000000"/>
              </w:rPr>
            </w:pPr>
            <w:r>
              <w:rPr>
                <w:color w:val="000000"/>
              </w:rPr>
              <w:t> </w:t>
            </w:r>
          </w:p>
        </w:tc>
      </w:tr>
      <w:tr>
        <w:trPr/>
        <w:tc>
          <w:tcPr>
            <w:tcW w:w="4125" w:type="dxa"/>
            <w:gridSpan w:val="7"/>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77966x1_n14_300-annexa_pg55"/>
        <w:bookmarkEnd w:id="444"/>
        <w:r>
          <w:rPr>
            <w:rStyle w:val="InternetLink"/>
            <w:rFonts w:ascii="Times New Roman;Times;Serif" w:hAnsi="Times New Roman;Times;Serif"/>
            <w:b/>
            <w:caps w:val="false"/>
            <w:smallCaps w:val="false"/>
            <w:color w:val="000000"/>
            <w:sz w:val="16"/>
          </w:rPr>
          <w:t>TABLE OF CONTENTS</w:t>
        </w:r>
      </w:hyperlink>
    </w:p>
    <w:tbl>
      <w:tblPr>
        <w:tblW w:w="656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70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Eversheds Sutherland (US)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 6th Street NW,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Washington DC 20001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Owen Pinkerton, Esq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owenpinkerton@eversheds-sutherland.us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the Company,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1680 Michigan Avenue, Suite 700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Beach, Florida 33139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Phil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psilverman@chicagoatlantic.com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will not constitute notice,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Nixon Peabody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Tower 46, 55 West 46th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10036-4120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Timothy D. Sini; Richard F. Langan, Jr.; Conrad R. Adkins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tsini@nixonpeabody.com; rlangan@nixonpeabody.com;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cadkins@nixonpeabody.com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Acquiror Adviser,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Suite 1800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Umesh Mahajan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umahajan@chicagoatlantic.com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Company Manager, to: </w:t>
            </w:r>
          </w:p>
        </w:tc>
      </w:tr>
      <w:tr>
        <w:trPr/>
        <w:tc>
          <w:tcPr>
            <w:tcW w:w="6560"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1680 Michigan Avenue, Suite 700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Beach, Florida 33139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Peter Sack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psack@chicagoatlantic.com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05" w:type="dxa"/>
            <w:tcBorders/>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such notice or other communication shall be effective upon receipt (or refusal of receipt). </w:t>
      </w:r>
    </w:p>
    <w:p>
      <w:pPr>
        <w:pStyle w:val="TextBody"/>
        <w:bidi w:val="0"/>
        <w:spacing w:before="120" w:after="283"/>
        <w:ind w:left="0" w:right="0" w:firstLine="400"/>
        <w:jc w:val="both"/>
        <w:rPr>
          <w:rFonts w:ascii="Times New Roman;Times;serif" w:hAnsi="Times New Roman;Times;serif"/>
          <w:color w:val="000000"/>
          <w:sz w:val="20"/>
        </w:rPr>
      </w:pPr>
      <w:bookmarkStart w:id="445" w:name="tANXAS113"/>
      <w:bookmarkEnd w:id="445"/>
      <w:r>
        <w:rPr>
          <w:rFonts w:ascii="Times New Roman;Times;serif" w:hAnsi="Times New Roman;Times;serif"/>
          <w:color w:val="000000"/>
          <w:sz w:val="20"/>
        </w:rPr>
        <w:t>11.3 </w:t>
      </w:r>
      <w:r>
        <w:rPr>
          <w:rFonts w:ascii="Times New Roman;Times;serif" w:hAnsi="Times New Roman;Times;serif"/>
          <w:color w:val="000000"/>
          <w:sz w:val="20"/>
          <w:u w:val="single"/>
        </w:rPr>
        <w:t>Interpretation; Construction</w:t>
      </w:r>
      <w:r>
        <w:rPr>
          <w:rFonts w:ascii="Times New Roman;Times;serif" w:hAnsi="Times New Roman;Times;serif"/>
          <w:color w:val="000000"/>
          <w:sz w:val="20"/>
        </w:rPr>
        <w:t xml:space="preserve">.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6" w:name="ny20077966x1_n14_300-annexa_pg56"/>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47" w:name="tANXAS114"/>
      <w:bookmarkEnd w:id="447"/>
      <w:r>
        <w:rPr>
          <w:rFonts w:ascii="Times New Roman;Times;serif" w:hAnsi="Times New Roman;Times;serif"/>
          <w:color w:val="000000"/>
          <w:sz w:val="20"/>
        </w:rPr>
        <w:t>11.4 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 </w:t>
      </w:r>
    </w:p>
    <w:p>
      <w:pPr>
        <w:pStyle w:val="TextBody"/>
        <w:bidi w:val="0"/>
        <w:spacing w:before="120" w:after="283"/>
        <w:ind w:left="0" w:right="0" w:firstLine="400"/>
        <w:jc w:val="both"/>
        <w:rPr>
          <w:rFonts w:ascii="Times New Roman;Times;serif" w:hAnsi="Times New Roman;Times;serif"/>
          <w:color w:val="000000"/>
          <w:sz w:val="20"/>
        </w:rPr>
      </w:pPr>
      <w:bookmarkStart w:id="448" w:name="tANXAS115"/>
      <w:bookmarkEnd w:id="448"/>
      <w:r>
        <w:rPr>
          <w:rFonts w:ascii="Times New Roman;Times;serif" w:hAnsi="Times New Roman;Times;serif"/>
          <w:color w:val="000000"/>
          <w:sz w:val="20"/>
        </w:rPr>
        <w:t>11.5 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(including the documents and the instruments referred to in this Agreement) constitutes the entire agreement and supersedes all prior agreements and understandings, both written and oral, between the parties with respect to the subject matter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49" w:name="tANXAS116"/>
      <w:bookmarkEnd w:id="449"/>
      <w:r>
        <w:rPr>
          <w:rFonts w:ascii="Times New Roman;Times;serif" w:hAnsi="Times New Roman;Times;serif"/>
          <w:color w:val="000000"/>
          <w:sz w:val="20"/>
        </w:rPr>
        <w:t>11.6 </w:t>
      </w:r>
      <w:r>
        <w:rPr>
          <w:rFonts w:ascii="Times New Roman;Times;serif" w:hAnsi="Times New Roman;Times;serif"/>
          <w:color w:val="000000"/>
          <w:sz w:val="20"/>
          <w:u w:val="single"/>
        </w:rPr>
        <w:t>Governing Law; Jurisdiction; Waiver of Jury Trial</w:t>
      </w:r>
      <w:r>
        <w:rPr>
          <w:rFonts w:ascii="Times New Roman;Times;serif" w:hAnsi="Times New Roman;Times;serif"/>
          <w:color w:val="000000"/>
          <w:sz w:val="20"/>
        </w:rPr>
        <w:t>.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Times;serif" w:hAnsi="Times New Roman;Times;serif"/>
          <w:color w:val="000000"/>
          <w:sz w:val="20"/>
          <w:u w:val="single"/>
        </w:rPr>
        <w:t>Acceptable Courts</w:t>
      </w:r>
      <w:r>
        <w:rPr>
          <w:rFonts w:ascii="Times New Roman;Times;serif" w:hAnsi="Times New Roman;Times;serif"/>
          <w:color w:val="000000"/>
          <w:sz w:val="20"/>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Times;serif" w:hAnsi="Times New Roman;Times;serif"/>
          <w:color w:val="000000"/>
          <w:sz w:val="20"/>
          <w:u w:val="single"/>
        </w:rPr>
        <w:t>Section 11.6</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50" w:name="tANXAS117"/>
      <w:bookmarkEnd w:id="450"/>
      <w:r>
        <w:rPr>
          <w:rFonts w:ascii="Times New Roman;Times;serif" w:hAnsi="Times New Roman;Times;serif"/>
          <w:color w:val="000000"/>
          <w:sz w:val="20"/>
        </w:rPr>
        <w:t>11.7 </w:t>
      </w:r>
      <w:r>
        <w:rPr>
          <w:rFonts w:ascii="Times New Roman;Times;serif" w:hAnsi="Times New Roman;Times;serif"/>
          <w:color w:val="000000"/>
          <w:sz w:val="20"/>
          <w:u w:val="single"/>
        </w:rPr>
        <w:t>Assignment; Third Party Beneficiaries</w:t>
      </w:r>
      <w:r>
        <w:rPr>
          <w:rFonts w:ascii="Times New Roman;Times;serif" w:hAnsi="Times New Roman;Times;serif"/>
          <w:color w:val="000000"/>
          <w:sz w:val="20"/>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this Agreement (including the documents and instruments referred to in this Agreement) is not intended to and does not confer upon any Person other than the parties hereto any rights or remedies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451" w:name="tANXAS118"/>
      <w:bookmarkEnd w:id="451"/>
      <w:r>
        <w:rPr>
          <w:rFonts w:ascii="Times New Roman;Times;serif" w:hAnsi="Times New Roman;Times;serif"/>
          <w:color w:val="000000"/>
          <w:sz w:val="20"/>
        </w:rPr>
        <w:t>11.8 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 </w:t>
      </w:r>
    </w:p>
    <w:p>
      <w:pPr>
        <w:pStyle w:val="TextBody"/>
        <w:bidi w:val="0"/>
        <w:spacing w:before="120" w:after="283"/>
        <w:ind w:left="0" w:right="0" w:firstLine="400"/>
        <w:jc w:val="both"/>
        <w:rPr>
          <w:rFonts w:ascii="Times New Roman;Times;serif" w:hAnsi="Times New Roman;Times;serif"/>
          <w:color w:val="000000"/>
          <w:sz w:val="20"/>
        </w:rPr>
      </w:pPr>
      <w:bookmarkStart w:id="452" w:name="tANXAS119"/>
      <w:bookmarkEnd w:id="452"/>
      <w:r>
        <w:rPr>
          <w:rFonts w:ascii="Times New Roman;Times;serif" w:hAnsi="Times New Roman;Times;serif"/>
          <w:color w:val="000000"/>
          <w:sz w:val="20"/>
        </w:rPr>
        <w:t>11.9 </w:t>
      </w:r>
      <w:r>
        <w:rPr>
          <w:rFonts w:ascii="Times New Roman;Times;serif" w:hAnsi="Times New Roman;Times;serif"/>
          <w:color w:val="000000"/>
          <w:sz w:val="20"/>
          <w:u w:val="single"/>
        </w:rPr>
        <w:t>Disclosure Schedule</w:t>
      </w:r>
      <w:r>
        <w:rPr>
          <w:rFonts w:ascii="Times New Roman;Times;serif" w:hAnsi="Times New Roman;Times;serif"/>
          <w:color w:val="000000"/>
          <w:sz w:val="20"/>
        </w:rPr>
        <w:t>. Before entry into this Agreement, the Company, Acquiror, the Company Manager and the Acquiror Adviser each delivered to the other party a schedule (the “</w:t>
      </w:r>
      <w:r>
        <w:rPr>
          <w:rFonts w:ascii="Times New Roman;Times;serif" w:hAnsi="Times New Roman;Times;serif"/>
          <w:color w:val="000000"/>
          <w:sz w:val="20"/>
          <w:u w:val="single"/>
        </w:rPr>
        <w:t>Company Disclosure Schedule</w:t>
      </w:r>
      <w:r>
        <w:rPr>
          <w:rFonts w:ascii="Times New Roman;Times;serif" w:hAnsi="Times New Roman;Times;serif"/>
          <w:color w:val="000000"/>
          <w:sz w:val="20"/>
        </w:rPr>
        <w:t>”, the “</w:t>
      </w:r>
      <w:r>
        <w:rPr>
          <w:rFonts w:ascii="Times New Roman;Times;serif" w:hAnsi="Times New Roman;Times;serif"/>
          <w:color w:val="000000"/>
          <w:sz w:val="20"/>
          <w:u w:val="single"/>
        </w:rPr>
        <w:t xml:space="preserve">Acquiror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77966x1_n14_300-annexa_pg57"/>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Disclosure Schedule</w:t>
      </w:r>
      <w:r>
        <w:rPr>
          <w:rFonts w:ascii="Times New Roman;Times;serif" w:hAnsi="Times New Roman;Times;serif"/>
          <w:color w:val="000000"/>
          <w:sz w:val="20"/>
        </w:rPr>
        <w:t>” and the “</w:t>
      </w:r>
      <w:r>
        <w:rPr>
          <w:rFonts w:ascii="Times New Roman;Times;serif" w:hAnsi="Times New Roman;Times;serif"/>
          <w:color w:val="000000"/>
          <w:sz w:val="20"/>
          <w:u w:val="single"/>
        </w:rPr>
        <w:t>Company Manager Disclosure Schedule</w:t>
      </w:r>
      <w:r>
        <w:rPr>
          <w:rFonts w:ascii="Times New Roman;Times;serif" w:hAnsi="Times New Roman;Times;serif"/>
          <w:color w:val="000000"/>
          <w:sz w:val="20"/>
        </w:rPr>
        <w:t>”, and the “</w:t>
      </w:r>
      <w:r>
        <w:rPr>
          <w:rFonts w:ascii="Times New Roman;Times;serif" w:hAnsi="Times New Roman;Times;serif"/>
          <w:color w:val="000000"/>
          <w:sz w:val="20"/>
          <w:u w:val="single"/>
        </w:rPr>
        <w:t>Acquiror Adviser Disclosure Schedule</w:t>
      </w:r>
      <w:r>
        <w:rPr>
          <w:rFonts w:ascii="Times New Roman;Times;serif" w:hAnsi="Times New Roman;Times;serif"/>
          <w:color w:val="000000"/>
          <w:sz w:val="20"/>
        </w:rPr>
        <w:t>”, respectively, each, a “</w:t>
      </w:r>
      <w:r>
        <w:rPr>
          <w:rFonts w:ascii="Times New Roman;Times;serif" w:hAnsi="Times New Roman;Times;serif"/>
          <w:color w:val="000000"/>
          <w:sz w:val="20"/>
          <w:u w:val="single"/>
        </w:rPr>
        <w:t>Disclosure Schedule</w:t>
      </w:r>
      <w:r>
        <w:rPr>
          <w:rFonts w:ascii="Times New Roman;Times;serif" w:hAnsi="Times New Roman;Times;serif"/>
          <w:color w:val="000000"/>
          <w:sz w:val="20"/>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as applicable, or to one or more covenants contained herein;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 (iii) other sections or subsections of this Agreement to the extent it is reasonably apparent from a reading of the disclosure that such disclosure is applicable to such other sections or subsections.</w:t>
      </w:r>
    </w:p>
    <w:p>
      <w:pPr>
        <w:pStyle w:val="TextBody"/>
        <w:bidi w:val="0"/>
        <w:spacing w:before="290" w:after="283"/>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4" w:name="ny20077966x1_n14_300-annexa_pg58"/>
        <w:bookmarkEnd w:id="4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Acquiror, the Company, the Company Manager and the Acquiror Adviser have caused this Agreement to be executed by their respective officers thereunto duly authorized as of the date first above written. </w:t>
      </w:r>
    </w:p>
    <w:tbl>
      <w:tblPr>
        <w:tblW w:w="5043" w:type="dxa"/>
        <w:jc w:val="left"/>
        <w:tblInd w:w="0" w:type="dxa"/>
        <w:tblLayout w:type="fixed"/>
        <w:tblCellMar>
          <w:top w:w="0" w:type="dxa"/>
          <w:left w:w="0" w:type="dxa"/>
          <w:bottom w:w="0" w:type="dxa"/>
          <w:right w:w="0" w:type="dxa"/>
        </w:tblCellMar>
      </w:tblPr>
      <w:tblGrid>
        <w:gridCol w:w="155"/>
        <w:gridCol w:w="140"/>
        <w:gridCol w:w="140"/>
        <w:gridCol w:w="407"/>
        <w:gridCol w:w="178"/>
        <w:gridCol w:w="178"/>
        <w:gridCol w:w="38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Acquiror</w:t>
            </w:r>
            <w:r>
              <w:rPr>
                <w:rFonts w:ascii="Times New Roman;Times;serif" w:hAnsi="Times New Roman;Times;serif"/>
                <w:color w:val="000000"/>
                <w:sz w:val="20"/>
              </w:rPr>
              <w:t>:</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Thomas Geoffroy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Thomas Geoffroy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Interim Chief Financial Officer</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Company</w:t>
            </w:r>
            <w:r>
              <w:rPr>
                <w:rFonts w:ascii="Times New Roman;Times;serif" w:hAnsi="Times New Roman;Times;serif"/>
                <w:color w:val="000000"/>
                <w:sz w:val="20"/>
              </w:rPr>
              <w:t>:</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REAL ESTATE FINANCE, INC.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Phil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Phil Silverman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Financial Officer</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Acquiror Adviser</w:t>
            </w:r>
            <w:r>
              <w:rPr>
                <w:rFonts w:ascii="Times New Roman;Times;serif" w:hAnsi="Times New Roman;Times;serif"/>
                <w:color w:val="000000"/>
                <w:sz w:val="20"/>
              </w:rPr>
              <w:t xml:space="preserve">: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ADVISERS, LLC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 Gordon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Scott Gordon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Director</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Company Manager</w:t>
            </w:r>
            <w:r>
              <w:rPr>
                <w:rFonts w:ascii="Times New Roman;Times;serif" w:hAnsi="Times New Roman;Times;serif"/>
                <w:color w:val="000000"/>
                <w:sz w:val="20"/>
              </w:rPr>
              <w:t xml:space="preserve">: </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0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CHICAGO ATLANTIC REIT MANAGER, LLC</w:t>
            </w:r>
          </w:p>
        </w:tc>
      </w:tr>
      <w:tr>
        <w:trPr/>
        <w:tc>
          <w:tcPr>
            <w:tcW w:w="5043" w:type="dxa"/>
            <w:gridSpan w:val="7"/>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Mazarakis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John Mazarakis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color w:val="000000"/>
              </w:rPr>
            </w:pPr>
            <w:r>
              <w:rPr>
                <w:color w:val="000000"/>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Authorized Person</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7"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178"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5" w:name="ny20077966x1_n14_300-annexa_pg59"/>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Net Asset Value Calculations</w:t>
      </w:r>
      <w:r>
        <w:rPr>
          <w:rFonts w:ascii="Times New Roman;Times;serif" w:hAnsi="Times New Roman;Times;serif"/>
          <w:b/>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Acquiror Net Asset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mutually agreed by the Acquiror Special Committee and the Company Special Committee, in connection with the calculation of Closing Acquiror Net Asset Value, the following valuation principles, assumptions, methodologies and adjustments shall apply: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following adjustments (to the extent appropriate on a per share basis) shall be made to the foregoing calculation of Closing Acquiror Net Asset Value to the extent not already reflected therein (i.e., without duplication): </w:t>
            </w:r>
          </w:p>
        </w:tc>
      </w:tr>
    </w:tbl>
    <w:tbl>
      <w:tblPr>
        <w:tblW w:w="9160" w:type="dxa"/>
        <w:jc w:val="left"/>
        <w:tblInd w:w="0" w:type="dxa"/>
        <w:tblLayout w:type="fixed"/>
        <w:tblCellMar>
          <w:top w:w="0" w:type="dxa"/>
          <w:left w:w="0" w:type="dxa"/>
          <w:bottom w:w="0" w:type="dxa"/>
          <w:right w:w="0" w:type="dxa"/>
        </w:tblCellMar>
      </w:tblPr>
      <w:tblGrid>
        <w:gridCol w:w="155"/>
        <w:gridCol w:w="9005"/>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accrual shall be made for any dividends declared by Acquiror but not paid as of the Merger Effective Time;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the carrying value of Acquiror’s investment portfolio to fair value in accordance with FASB Topic ASC 820 – </w:t>
            </w:r>
            <w:r>
              <w:rPr>
                <w:rFonts w:ascii="Times New Roman;Times;serif" w:hAnsi="Times New Roman;Times;serif"/>
                <w:i/>
                <w:color w:val="000000"/>
                <w:sz w:val="20"/>
              </w:rPr>
              <w:t>Fair Value Measurement</w:t>
            </w:r>
            <w:r>
              <w:rPr>
                <w:rFonts w:ascii="Times New Roman;Times;serif" w:hAnsi="Times New Roman;Times;serif"/>
                <w:color w:val="000000"/>
                <w:sz w:val="20"/>
              </w:rPr>
              <w:t xml:space="preserve"> (“ASC 820”) and Topic 946 – </w:t>
            </w:r>
            <w:r>
              <w:rPr>
                <w:rFonts w:ascii="Times New Roman;Times;serif" w:hAnsi="Times New Roman;Times;serif"/>
                <w:i/>
                <w:color w:val="000000"/>
                <w:sz w:val="20"/>
              </w:rPr>
              <w:t xml:space="preserve">Investment Companies </w:t>
            </w:r>
            <w:r>
              <w:rPr>
                <w:rFonts w:ascii="Times New Roman;Times;serif" w:hAnsi="Times New Roman;Times;serif"/>
                <w:color w:val="000000"/>
                <w:sz w:val="20"/>
              </w:rPr>
              <w:t>(“ASC 946”</w:t>
            </w:r>
            <w:r>
              <w:rPr>
                <w:rFonts w:ascii="Times New Roman;Times;serif" w:hAnsi="Times New Roman;Times;serif"/>
                <w:i/>
                <w:color w:val="000000"/>
                <w:sz w:val="20"/>
              </w:rPr>
              <w: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not previously adjusted as among the parties pursuant to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of the Agreement, an adjustment shall be made to reflect the allocation of costs, fees and expenses contemplated by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of the Agreement;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decrease Closing Acquiror Net Asset Value by the aggregate amount of all Acquiror Transaction Expenses.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calculation of Closing Acquiror Net Asset Value shall be subject to the adjustments contemplated by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of the Agreement. </w:t>
            </w:r>
          </w:p>
        </w:tc>
      </w:tr>
    </w:tbl>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Acquiror Transaction Expenses</w:t>
      </w:r>
      <w:r>
        <w:rPr>
          <w:rFonts w:ascii="Times New Roman;Times;serif" w:hAnsi="Times New Roman;Times;serif"/>
          <w:color w:val="000000"/>
          <w:sz w:val="20"/>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hereof.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Company Net Asset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mutually agreed by the Acquiror Special Committee and the Company Special Committee, in connection with the calculation of Closing Company Net Asset Value, the following valuation principles, assumptions, methodologies and adjustments shall apply: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following adjustments (to the extent appropriate on a per share basis) shall be made to the foregoing calculation of Closing Company Net Asset Value to the extent not already reflected therein (i.e., without duplication):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accrual shall be made for any dividends declared or required to be declared by the Company but not paid as of the Merger Effective Time;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the carrying value of the Company’s investment portfolio to record the Company’s investment portfolio at fair value in accordance with FASB ASC 820 and ASC 946;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6" w:name="ny20077966x1_n14_300-annexa_pg60"/>
        <w:bookmarkEnd w:id="4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Times;serif" w:hAnsi="Times New Roman;Times;serif"/>
                <w:color w:val="000000"/>
                <w:sz w:val="20"/>
                <w:u w:val="single"/>
              </w:rPr>
              <w:t>Section 1.6(3)</w:t>
            </w:r>
            <w:r>
              <w:rPr>
                <w:rFonts w:ascii="Times New Roman;Times;serif" w:hAnsi="Times New Roman;Times;serif"/>
                <w:color w:val="000000"/>
                <w:sz w:val="20"/>
              </w:rPr>
              <w:t xml:space="preserve"> of the Agreement; and adjustment shall be made to the Closing Company Net Asset Value; and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Times;serif" w:hAnsi="Times New Roman;Times;serif"/>
                <w:i/>
                <w:color w:val="000000"/>
                <w:sz w:val="20"/>
              </w:rPr>
              <w:t>Financial Instruments – Credit Losses</w:t>
            </w:r>
            <w:r>
              <w:rPr>
                <w:rFonts w:ascii="Times New Roman;Times;serif" w:hAnsi="Times New Roman;Times;serif"/>
                <w:color w:val="000000"/>
                <w:sz w:val="20"/>
              </w:rPr>
              <w:t xml:space="preserve">, reflected under Current expected credit loss reserve and under Accounts payable and other liabilities in the consolidated financial statements, each from inception to the anticipated Merger Time; and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adjustment shall be made, if appropriate, to reflect the obligations of the Company Manager under </w:t>
            </w:r>
            <w:r>
              <w:rPr>
                <w:rFonts w:ascii="Times New Roman;Times;serif" w:hAnsi="Times New Roman;Times;serif"/>
                <w:color w:val="000000"/>
                <w:sz w:val="20"/>
                <w:u w:val="single"/>
              </w:rPr>
              <w:t>Section 9.4</w:t>
            </w:r>
            <w:r>
              <w:rPr>
                <w:rFonts w:ascii="Times New Roman;Times;serif" w:hAnsi="Times New Roman;Times;serif"/>
                <w:color w:val="000000"/>
                <w:sz w:val="20"/>
              </w:rPr>
              <w:t xml:space="preserve"> of the Agreement. The amount of $2,000,000 shall added to Closing Company Net Asset Value.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calculation of Closing Company Net Asset Value shall be subject to the adjustments contemplated by </w:t>
            </w:r>
            <w:r>
              <w:rPr>
                <w:rFonts w:ascii="Times New Roman;Times;serif" w:hAnsi="Times New Roman;Times;serif"/>
                <w:color w:val="000000"/>
                <w:sz w:val="20"/>
                <w:u w:val="single"/>
              </w:rPr>
              <w:t>Section 1.6(d)</w:t>
            </w:r>
            <w:r>
              <w:rPr>
                <w:rFonts w:ascii="Times New Roman;Times;serif" w:hAnsi="Times New Roman;Times;serif"/>
                <w:color w:val="000000"/>
                <w:sz w:val="20"/>
              </w:rPr>
              <w:t xml:space="preserve"> of the Agreement.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Principles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7" w:name="ny20077966x1_n14_300-annexa_pg61"/>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Schedule 1.9</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Peter Sack will serve as the Chief Executive Officer of the Surviving Company. The remaining officers of the Surviving Company will be determined by the parties prior to the filing of the Registration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8" w:name="ny20077966x1_n14_301-annexb_pg1"/>
        <w:bookmarkEnd w:id="4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59" w:name="tANXB"/>
      <w:bookmarkEnd w:id="459"/>
      <w:r>
        <w:rPr>
          <w:rFonts w:ascii="Times New Roman;Times;serif" w:hAnsi="Times New Roman;Times;serif"/>
          <w:b/>
          <w:color w:val="000000"/>
          <w:sz w:val="20"/>
        </w:rPr>
        <w:t xml:space="preserve">ANNEX B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TO THE LIEN SPECIAL COMMITTEE </w:t>
      </w:r>
    </w:p>
    <w:p>
      <w:pPr>
        <w:pStyle w:val="TextBody"/>
        <w:bidi w:val="0"/>
        <w:spacing w:before="285" w:after="283"/>
        <w:ind w:left="0" w:right="0" w:hanging="0"/>
        <w:jc w:val="left"/>
        <w:rPr>
          <w:color w:val="000000"/>
        </w:rPr>
      </w:pPr>
      <w:r>
        <w:rPr>
          <w:color w:val="000000"/>
        </w:rPr>
        <w:drawing>
          <wp:inline distT="0" distB="0" distL="0" distR="0">
            <wp:extent cx="27336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5"/>
                    <a:stretch>
                      <a:fillRect/>
                    </a:stretch>
                  </pic:blipFill>
                  <pic:spPr bwMode="auto">
                    <a:xfrm>
                      <a:off x="0" y="0"/>
                      <a:ext cx="2733675"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Madison Avenue, Suite 1800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10022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(the “Special Committee”) of the Board of Directors (the “Board”) of Chicago Atlantic BDC,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the opinion of Keefe, Bruyette &amp; Woods, Inc. (“KBW” or “we”) as investment bankers as to the fairness, from a financial point of view, to Chicago Atlantic BDC, Inc. (“LIEN”) of the Exchange Ratio (as defined below) in the proposed merger of Chicago Atlantic Real Estate Finance, Inc. (“REFI”) with and into LIEN, with LIEN as the surviving company (such merger, the “Merger”), pursuant to the Agreement and Plan of Merger (the “Agreement”) to be entered into by and among LIEN, REFI and, solely for certain limited purposes, Chicago Atlantic BDC Advisers, LLC (“LIEN Adviser”), which is the investment adviser to LIEN, and Chicago Atlantic REIT Manager, LLC (“REFI Manager”), which is the external manager to REFI. Pursuant to the Agreement and subject to the terms, conditions and limitations set forth therein, at the Merger Effective Time (as defined in the Agreement), by virtue of the Merger and without any action on the part of LIEN or REFI or the holder of any of the securities of LIEN or REFI, each share of common stock, par value $0.01 per share, of REFI (“REFI Common Stock”) issued and outstanding immediately prior to the Merger Effective Time, except for the Cancelled Shares (as defined in the Agreement), shall be converted into the right to receive a number of shares of common stock, $0.01 par value per share, of LIEN (“LIEN Common Stock”) equal to the ratio of the Closing Company Net Asset Value (as defined in the Agreement) to the Closing Acquiror Net Asset Value (as defined in the Agreement) (such ratio, the “Exchange Ratio”). At the direction of LIEN and with the consent of the Committee, we have relied upon and assumed for purposes of our analyses and this opinion, without independent verification, that the Closing Company Net Asset Value will be $14.30 and the Closing Acquiror Net Asset Value will be equal to $13.18 and that, as a result thereof, the Exchange Ratio will be 1.0849x. The terms and conditions of the Merger are more fully set forth in the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KBW has acted as financial advisor to the Committee and not as an advisor to or agent of any other person. As part of our investment banking business, we are regularly engaged in the valuation of business development company (“BDC”) and other specialty finance company securities in connection with acquisitions, negotiated underwritings, secondary distributions of listed and unlisted securities, private placements and valuations for various other purposes. We and our affiliates, in the ordinary course of our and their broker-dealer businesses, may from time to time purchase securities from, and sell securities to, LIEN and REFI. In addition, as market makers in securities, we and our affiliates may from time to time have a long or short position in, and buy or sell, debt or equity securities of LIEN or REFI for our and their own respective accounts and for the accounts of our and their respective customers and clients. We have acted exclusively for the Committee in rendering this opinion and will receive a fee from LIEN for our services. A portion of our fee is payable upon the rendering of this opinion, and a significant portion is contingent upon the successful completion of the Merger. In addition, LIEN has agreed to indemnify us for certain liabilities arising out of our engagement.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this present engagement, in the past two years, KBW has provided investment banking and financial advisory services to LIEN and received compensation for such services. KBW advised a special committee of the Board of LIEN (then known as Silver Spike Investment Corp.) in connection with its October 2024 purchase of certain assets from Chicago Atlantic Loan Portfolio, LLC. In the past two years, KBW has not provided investment banking or financial advisory services to LIEN Adviser, REFI or REFI Manager. We may in the future provide investment banking and financial advisory services to LIEN, LIEN Adviser, REFI, REFI Manager or Chicago Atlantic Group, LP, which is an affiliate of both LIEN Adviser and REFI Manager, and receive compensation for such services.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0" w:name="ny20077966x1_n14_301-annexb_pg2"/>
        <w:bookmarkEnd w:id="4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2 of 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reviewed, analyzed and relied upon material bearing upon the financial and operating condition of LIEN and REFI and bearing upon the Merger, including among other things, the following: (i) a draft of the Agreement dated June 16, 2026 (the most recent draft made available to us); (ii) the audited financial statements and Annual Reports on Form 10-K for the three fiscal years ended December 31, 2025 of LIEN; (iii) the unaudited quarterly financial statements and Quarterly Report on Form 10-Q for the quarter ended March 31, 2026 of LIEN; (iv) the audited financial statements and Annual Reports on Form 10-K for the three fiscal years ended December 31, 2025 of REFI; (v) the unaudited quarterly financial statements and Quarterly Report on Form 10-Q for the quarter ended March 31, 2026 of REFI; (vi) certain other interim reports and other communications of LIEN and REFI to their respective stockholders; and (vii) other financial information concerning the respective businesses and operations of LIEN and REFI furnished to us by LIEN and REFI or which we were otherwise directed to use for purposes of our analysis. Our consideration of financial information and other factors that we deemed appropriate under the circumstances or relevant to our analyses included, among others, the following: (i) the historical and current financial position and results of operations of LIEN and REFI; (ii) the assets and liabilities of LIEN and REFI; (iii) the nature and terms of certain merger transactions and business combinations in the BDC industry; (iv) a comparison of certain financial and stock market information of LIEN and REFI with similar information for certain other companies, the securities of which are publicly traded; (v) financial and operating forecasts and projections of REFI that were prepared by management of REFI Manager, provided to us by REFI and discussed with us by REFI Manager management, and used and relied upon by us based on such discussions, at the direction of LIEN and with the consent of the Committee; (vi) financial and operating forecasts and projections of LIEN that were prepared by management of LIEN Adviser, provided to us by LIEN and discussed with us by LIEN Adviser management, and used and relied upon by us at the direction of LIEN and with the consent of the Committee; and (vii) estimates regarding certain pro forma financial effects of the Merger on LIEN (including, without limitation, the cost savings and operating synergies expected to result or be derived from the Merger) that were prepared by management of LIEN Adviser, provided to us by LIEN and discussed with us by LIEN Adviser management, and used and relied upon by us at the direction of LIEN and with the consent of the Committee.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BDC and specialty finance company industries generally. We have also participated in discussions with LIEN Adviser management and REFI Manager management regarding the respective past and current business operations, regulatory relations, financial condition and future prospects of LIEN and REFI and such other matters as we have deemed relevant to our inquiry.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conducting our review and arriving at our opinion, we have relied upon and assumed the accuracy and completeness of all of the financial and other information provided to or discussed with us or that was publicly available and we have not independently verified the accuracy or completeness of any such information or assumed any responsibility or liability for such verification, accuracy or completeness. We have relied, with the consent of LIEN and the Committee, upon the management of REFI Manager as to the reasonableness and achievability of the financial and operating forecasts and projections of REFI referred to above (and the assumptions and bases therefor), and we have assumed that such forecasts and projections have been reasonably prepared and represent the best currently available estimates and judgments of REFI Manager management and that such forecasts and projections will be realized in the amounts and in the time periods currently estimated by such management. We have further relied, with the consent of LIEN and the Committee, upon the management of LIEN Adviser as to the reasonableness and achievability of the financial and operating forecasts and projections of LIEN and the estimates regarding certain pro forma financial effects of the Merger on LIEN (including, without limitation, the cost savings and operating synergies expected to result or be derived from the Merger), all as referred to above (and the assumptions and bases for all such information), and we have assumed that all such information has been reasonably prepared and represents the best currently available estimates and judgments of LIEN Adviser management and that the forecasts, projections and estimates reflected in such information will be realized in the amounts and in the time periods currently estimated by such management.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1" w:name="ny20077966x1_n14_301-annexb_pg3"/>
        <w:bookmarkEnd w:id="4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3 of 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understood that the foregoing financial information of LIEN and REFI that was provided to us was not prepared with the expectation of public disclosure and that all of the foregoing financial information is based on numerous variables and assumptions that are inherently uncertain and, accordingly, actual results could vary significantly from those set forth in such information. We have assumed, with the consent of LIEN and the Committee,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have assumed that there have been no material changes in the assets, liabilities, financial condition, results of operations, business or prospects of either LIEN or REFI since the date of the last financial statements of each such entity that were made available to us. We have assumed, without independent verification and with your consent, that REFI has operated in conformity with the requirements for qualification as a real estate investment trust (“REIT”) for federal income tax purposes since its formation as a REIT. In rendering our opinion, we have not made or obtained any evaluations or appraisals or physical inspection of the property, assets or liabilities (contingent or otherwise) of LIEN or REFI, the collateral securing any of such assets or liabilities, or the collectability of any such assets, nor have we examined any individual loan or credit files, nor did we evaluate the solvency, financial capability or fair value of LIEN or REFI under any state or federal laws, including those relating to bankruptcy, insolvency or other matters. We express no view as to the value of any investment asset owned by LIEN or REFI used in connection with the net asset value or book value computations made or to be made by LIEN or REFI or the valuation policies and procedures of LIEN or REFI in connection therewith.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assumed, in all respects material to our analyses, the following: (i) that the Merger and any related transactions will be completed substantially in accordance with the terms set forth in the Agreement (the final terms of which we have assumed will not differ in any respect material to our analyses from the draft reviewed by us and referred to above), with no adjustments to the Exchange Ratio and with no other consideration or payments in respect of REFI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Merger or any related transactions and that all conditions to the completion of the Merger and any related transactions will be satisfied without any waivers or modifications to the Agreement or any of the related documents; and (v) that in the course of obtaining the necessary regulatory, contractual, or other consents or approvals for the Merger and any related transactions, no restrictions, including any divestiture requirements, termination or other payments or amendments or modifications, will be imposed that will have a material adverse effect on the future results of operations or financial condition of LIEN, REFI or the pro forma entity, or the contemplated benefits of the Merger, including without limitation the cost savings and operating synergies expected to result or be derived from the Merger. We have assumed that the Merger will be consummated in a manner that complies with the applicable provisions of the Securities Act of 1933, as amended, the Securities Exchange Act of 1934, as amended, and all other applicable federal and state statutes, rules and regulations. We have further been advised by representatives of LIEN that LIEN has relied upon advice from its advisors (other than KBW) or other appropriate sources as to all legal, financial reporting, tax, accounting and regulatory matters with respect to LIEN, REFI, the Merger and any related transaction and the Agreement. KBW has not provided advice with respect to any such matters.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2" w:name="ny20077966x1_n14_301-annexb_pg4"/>
        <w:bookmarkEnd w:id="4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4 of 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addresses only the fairness, from a financial point of view, as of the date hereof, of the Exchange Ratio in the Merger to LIEN. We express no view or opinion as to any other terms or aspects of the Merger or any term or aspect of any related transaction (including any asset acquisition by REFI prior to the closing of the Merger (the “Permitted Acquisition”), the payment by REFI of the Tax Dividend (as defined in the Agreement), the election by REFI for it to be regulated as a BDC (the “BDC Election”), the termination of the management agreement between REFI and REFI Manager and the entry into an investment advisory agreement between REFI and LIEN Adviser in connection with the BDC Election, the subsequent termination of such investment advisory in connection with the Merger and any share repurchase program implemented by LIEN following the Merger), including without limitation, the form or structure of the Merger or any such related transaction, any consequences of the Merger or any related transaction to LIEN, its stockholders, creditors or otherwise, or any terms, aspects, merits or implications of any employment, consulting, voting, support, stockholder or other agreements, arrangements or understandings contemplated or entered into in connection with the Merger,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division, economic uncertainty, recently announced actual or threatened imposition of tariff increases, inflation, and prolonged higher interest rates. It is understood that subsequent developments may affect the conclusion reached in this opinion and that KBW does not have an obligation to update, revise or reaffirm this opinion. We express no view or opinion as to any changes after the date hereof to the Closing Company Net Asset Value and the Closing Acquiror Net Asset Value (and the resulting Exchange Ratio), whether relating to the Permitted Acquisition or otherwise, from the amounts thereof that we have been directed to assume for purposes of our analyses and this opinion. Our opinion does not address, and we express no view or opinion with respect to, (i) the underlying business decision of LIEN to engage in the Merger or enter into the Agreement, (ii) the relative merits of the Merger as compared to any strategic alternatives that are, have been or may be available to or contemplated by LIEN, the Board or the Committee, (iii) any business, operational or other plans with respect to REFI or the pro forma entity that may be currently contemplated by LIEN, the Board or the Committee or that may be implemented by LIEN, the Board or the Committee subsequent to the closing of the Merger, (iv) any fees payable by LIEN or REFI to LIEN Adviser or REFI Manager for investment advisory and management services, (v) the fairness of the amount or nature of any compensation to any of LIEN’s officers, directors or employees, or any class of such persons, relative to any compensation to the holders of LIEN Common Stock or relative to the Exchange Ratio, (vi) the effect of the Merger or any related transaction on, or the fairness of the consideration to be received by, holders of any class of securities of LIEN or REFI or any other party to any transaction contemplated by the Agreement (including, without limitation, the fairness of the purchase price to be paid by REFI in the Permitted Acquisition), (vii) the actual value of LIEN Common Stock to be issued in connection with the Merger, (viii) the prices, trading range or volume at which LIEN Common Stock or REFI Common Stock will trade following the public announcement of the Merger or the prices, trading range or volume at which LIEN Common Stock will trade following the consummation of the Merger, (ix) any advice or opinions provided by any other advisor to any of the parties to the Merger or any other transaction contemplated by the Agreement, or (x) any legal, regulatory, accounting, tax or similar matters relating to LIEN, REFI, any of their respective stockholders, or relating to or arising out of or as a consequence of the Merger or any other related transaction, including whether or not the Merger will qualify as a tax-free reorganization for United States federal income tax purposes or whether the interests of the existing stockholders of LIEN and REFI will not be diluted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is for the information of, and is directed to, the Committee (in its capacity as such) in connection with its consideration of the financial terms of the Merger. This opinion does not constitute a recommendation to the Committee or the Board as to how it should vote on the Merger, or to any holder of LIEN Common Stock or any stockholder of any other entity as to how to vote or act in connection with the Merger or any other matter, nor does it constitute a recommendation as to whether or not any such stockholder should enter into a voting, stockholders’, affiliates’ or other agreement with respect to the Merger or exercise any dissenters’ or appraisal rights that may be available to such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has been reviewed and approved by our Fairness Opinion Committee in conformity with our policies and procedures established under the requirements of Rule 5150 of the Financial Industry Regulatory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3" w:name="ny20077966x1_n14_301-annexb_pg5"/>
        <w:bookmarkEnd w:id="4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BDC,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5 of 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Exchange Ratio in the Merger is fair, from a financial point of view, to LIEN. </w:t>
      </w:r>
    </w:p>
    <w:tbl>
      <w:tblPr>
        <w:tblW w:w="4230" w:type="dxa"/>
        <w:jc w:val="left"/>
        <w:tblInd w:w="0" w:type="dxa"/>
        <w:tblLayout w:type="fixed"/>
        <w:tblCellMar>
          <w:top w:w="0" w:type="dxa"/>
          <w:left w:w="0" w:type="dxa"/>
          <w:bottom w:w="0" w:type="dxa"/>
          <w:right w:w="0" w:type="dxa"/>
        </w:tblCellMar>
      </w:tblPr>
      <w:tblGrid>
        <w:gridCol w:w="155"/>
        <w:gridCol w:w="140"/>
        <w:gridCol w:w="140"/>
        <w:gridCol w:w="3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4003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6"/>
                          <a:stretch>
                            <a:fillRect/>
                          </a:stretch>
                        </pic:blipFill>
                        <pic:spPr bwMode="auto">
                          <a:xfrm>
                            <a:off x="0" y="0"/>
                            <a:ext cx="2400300" cy="381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Keefe, Bruyette &amp; Woods,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4" w:name="ny20077966x1_n14_302-annexc_pg1"/>
        <w:bookmarkEnd w:id="4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65" w:name="tANXC"/>
      <w:bookmarkEnd w:id="465"/>
      <w:r>
        <w:rPr>
          <w:rFonts w:ascii="Times New Roman;Times;serif" w:hAnsi="Times New Roman;Times;serif"/>
          <w:b/>
          <w:color w:val="000000"/>
          <w:sz w:val="20"/>
        </w:rPr>
        <w:t xml:space="preserve">ANNEX 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TO THE REFI SPECIAL COMMITTEE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17,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Chicago Atlantic Real Estate Finance,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1680 Michigan Avenue Suite 700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Beach, FL 33139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Special Committee of the Board of Directors and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asked Oppenheimer &amp; Co. Inc. (“Oppenheimer”) to render a written opinion (this “Opinion”) to (i) the Special Committee (the “Committee”) of the Board of Directors (the “Board”) of Chicago Atlantic Real Estate Finance, Inc. (the “Company” or “REFI”) and (ii) the Board of REFI as to the fairness, from a financial point of view, to the stockholders of the Company (other than the Manager, the Acquiror, the Acquiror Adviser (as each such term is defined below) and any of their respective Affiliates (as such term is defined in the Agreement)) of the Exchange Ratio (as defined in this Opinion) provided in the Agreement and Plan of Merger (the “Agreement”) being entered into by and among the Company, Chicago Atlantic BDC, Inc. (“Acquiror” or “LIEN”), Chicago Atlantic REIT Manager, LLC (the “Manager”) and Chicago Atlantic BDC Advisors, LLC (the “Acquiror Adviser”), pursuant to which, among other things: (a) prior to the Merger Effective Time (as defined in the Agreement), the Company shall complete the BDC Election (as defined in the Agreement), which includes, among other things, electing to be a business development company regulated under the Investment Company Act of 1940, as amended (the “Investment Company Act”); and (b) following the BDC Election, the Company shall merge with and into the Acquiror (the “Merger”), with the Acquiror surviving as a business development company. Pursuant to the Agreement, at the Merger Effective Time, each share of common stock of the Company (“Company Common Stock”) issued and outstanding immediately prior to the Merger Effective Time (other than shares of Company Common Stock held by the Company as treasury stock or owned by the Acquiror or any of their respective direct or indirect wholly owned subsidiaries, which shall be cancelled as provided in the Agreement) shall be converted into the right to receive a number of shares of common stock of the Acquiror (“Acquiror Common Stock”) equal to the “Exchange Ratio” (which term is defined in the Agreement to mean the quotient obtained by dividing (i) the Closing Company Net Asset Value by (ii) the Closing Acquiror Net Asset Value (each as defined in the Agreement, and determined as of a date no earlier than 48 hours (excluding Sundays and holidays) prior to the Merger Effective Time)). For purposes of the Opinion, the term “Exchange Ratio” means 1.0851x, which is derived from the Adjusted March 31 NAVs (as defined below).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this Opinion, we: </w:t>
      </w:r>
    </w:p>
    <w:tbl>
      <w:tblPr>
        <w:tblW w:w="4795" w:type="dxa"/>
        <w:jc w:val="left"/>
        <w:tblInd w:w="0" w:type="dxa"/>
        <w:tblLayout w:type="fixed"/>
        <w:tblCellMar>
          <w:top w:w="0" w:type="dxa"/>
          <w:left w:w="0" w:type="dxa"/>
          <w:bottom w:w="0" w:type="dxa"/>
          <w:right w:w="0" w:type="dxa"/>
        </w:tblCellMar>
      </w:tblPr>
      <w:tblGrid>
        <w:gridCol w:w="170"/>
        <w:gridCol w:w="462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June 16, 2026, of the Agreement;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financial information relating to the Company and the Acquiror that we deemed to be relevant, including each of the Company’s and the Acquiror’s respective Quarterly Report on Form 10-Q for the fiscal quarter ended March 31, 2026 and Annual Report on Form 10-K for the fiscal years ending December 31, 2025 and 2024;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conducted diligence discussions with the senior management of the Company and the Acquiror with respect to the business, financial condition, results of operations, forecast and loan portfolio of each;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internal and independent third-party valuations for the respective loan portfolios of the Company and the Acquiror as of March 31, 2026; </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of the Company and the Acquiror, including financial forecasts and estimates relating to the Company and the Acquiror on a standalone basis and pro forma giving effect to the Transactions (as defined in the Agreement), prepared by management of the Company and the Acquiror and approved for our use by the Committee; </w:t>
            </w:r>
          </w:p>
        </w:tc>
      </w:tr>
    </w:tbl>
    <w:tbl>
      <w:tblPr>
        <w:tblW w:w="10205" w:type="dxa"/>
        <w:jc w:val="left"/>
        <w:tblInd w:w="0" w:type="dxa"/>
        <w:tblLayout w:type="fixed"/>
        <w:tblCellMar>
          <w:top w:w="0" w:type="dxa"/>
          <w:left w:w="0" w:type="dxa"/>
          <w:bottom w:w="0" w:type="dxa"/>
          <w:right w:w="0" w:type="dxa"/>
        </w:tblCellMar>
      </w:tblPr>
      <w:tblGrid>
        <w:gridCol w:w="104"/>
        <w:gridCol w:w="10101"/>
      </w:tblGrid>
      <w:tr>
        <w:trPr/>
        <w:tc>
          <w:tcPr>
            <w:tcW w:w="1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1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materials prepared by the Company and their respective advisors in connection with the Boards’ consideration of the Transactions, including materials provided in connection with their respective determinations under Rule 17a-8 under the Investment Company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6" w:name="ny20077966x1_n14_302-annexc_pg2"/>
        <w:bookmarkEnd w:id="466"/>
        <w:r>
          <w:rPr>
            <w:rStyle w:val="InternetLink"/>
            <w:rFonts w:ascii="Times New Roman;Times;Serif" w:hAnsi="Times New Roman;Times;Serif"/>
            <w:b/>
            <w:caps w:val="false"/>
            <w:smallCaps w:val="false"/>
            <w:color w:val="000000"/>
            <w:sz w:val="16"/>
          </w:rPr>
          <w:t>TABLE OF CONTENTS</w:t>
        </w:r>
      </w:hyperlink>
    </w:p>
    <w:tbl>
      <w:tblPr>
        <w:tblW w:w="9940" w:type="dxa"/>
        <w:jc w:val="left"/>
        <w:tblInd w:w="0" w:type="dxa"/>
        <w:tblLayout w:type="fixed"/>
        <w:tblCellMar>
          <w:top w:w="0" w:type="dxa"/>
          <w:left w:w="0" w:type="dxa"/>
          <w:bottom w:w="0" w:type="dxa"/>
          <w:right w:w="0" w:type="dxa"/>
        </w:tblCellMar>
      </w:tblPr>
      <w:tblGrid>
        <w:gridCol w:w="185"/>
        <w:gridCol w:w="9755"/>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other publicly available information relating to the Company and the Acquiror that we deemed to be relevant;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net asset value per share of the Company and the net asset value per share of the Acquiror, each as of March 31, 2026, prepared and provided to us by management of the Company and management of the Acquiror, respectively, as adjusted for estimated transaction expenses and expense reimbursement by the Manager provided by management of the Company and the Acquiror, respectively (the “Adjusted March 31 NAVs”), which resulted in an adjusted NAV per share of Company Common Stock of $14.30 and an adjusted NAV per share of Acquiror Common Stock of $13.18, and an illustrative exchange ratio of 1.0851x; </w:t>
            </w:r>
          </w:p>
        </w:tc>
      </w:tr>
    </w:tbl>
    <w:tbl>
      <w:tblPr>
        <w:tblW w:w="10205" w:type="dxa"/>
        <w:jc w:val="left"/>
        <w:tblInd w:w="0" w:type="dxa"/>
        <w:tblLayout w:type="fixed"/>
        <w:tblCellMar>
          <w:top w:w="0" w:type="dxa"/>
          <w:left w:w="0" w:type="dxa"/>
          <w:bottom w:w="0" w:type="dxa"/>
          <w:right w:w="0" w:type="dxa"/>
        </w:tblCellMar>
      </w:tblPr>
      <w:tblGrid>
        <w:gridCol w:w="113"/>
        <w:gridCol w:w="10092"/>
      </w:tblGrid>
      <w:tr>
        <w:trPr/>
        <w:tc>
          <w:tcPr>
            <w:tcW w:w="1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market and financial information of certain publicly traded commercial mortgage real estate investment trusts and business development companies that we deemed to be relevant; </w:t>
            </w:r>
          </w:p>
        </w:tc>
      </w:tr>
    </w:tbl>
    <w:tbl>
      <w:tblPr>
        <w:tblW w:w="10205" w:type="dxa"/>
        <w:jc w:val="left"/>
        <w:tblInd w:w="0" w:type="dxa"/>
        <w:tblLayout w:type="fixed"/>
        <w:tblCellMar>
          <w:top w:w="0" w:type="dxa"/>
          <w:left w:w="0" w:type="dxa"/>
          <w:bottom w:w="0" w:type="dxa"/>
          <w:right w:w="0" w:type="dxa"/>
        </w:tblCellMar>
      </w:tblPr>
      <w:tblGrid>
        <w:gridCol w:w="111"/>
        <w:gridCol w:w="10094"/>
      </w:tblGrid>
      <w:tr>
        <w:trPr/>
        <w:tc>
          <w:tcPr>
            <w:tcW w:w="1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financial terms of certain precedent merger and acquisition transactions of certain mortgage real estate investment trusts and business development companies that we deemed to be relevant; </w:t>
            </w:r>
          </w:p>
        </w:tc>
      </w:tr>
    </w:tbl>
    <w:tbl>
      <w:tblPr>
        <w:tblW w:w="8155" w:type="dxa"/>
        <w:jc w:val="left"/>
        <w:tblInd w:w="0" w:type="dxa"/>
        <w:tblLayout w:type="fixed"/>
        <w:tblCellMar>
          <w:top w:w="0" w:type="dxa"/>
          <w:left w:w="0" w:type="dxa"/>
          <w:bottom w:w="0" w:type="dxa"/>
          <w:right w:w="0" w:type="dxa"/>
        </w:tblCellMar>
      </w:tblPr>
      <w:tblGrid>
        <w:gridCol w:w="185"/>
        <w:gridCol w:w="797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a dividend discount analysis of both the Company and Acquiror on a standalone basis; </w:t>
            </w:r>
          </w:p>
        </w:tc>
      </w:tr>
    </w:tbl>
    <w:tbl>
      <w:tblPr>
        <w:tblW w:w="7645" w:type="dxa"/>
        <w:jc w:val="left"/>
        <w:tblInd w:w="0" w:type="dxa"/>
        <w:tblLayout w:type="fixed"/>
        <w:tblCellMar>
          <w:top w:w="0" w:type="dxa"/>
          <w:left w:w="0" w:type="dxa"/>
          <w:bottom w:w="0" w:type="dxa"/>
          <w:right w:w="0" w:type="dxa"/>
        </w:tblCellMar>
      </w:tblPr>
      <w:tblGrid>
        <w:gridCol w:w="140"/>
        <w:gridCol w:w="750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a contribution analysis of the Company and Acquiror giving effect to the merger;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current and historical market prices for the Company’s and the Acquiror’s publicly traded equity securities; and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reviewed such other information and considered such other factors as we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this Opinion, we relied upon and assumed, without independent verification or investigation, the accuracy and completeness of all of the financial and other information provided to or discussed with us by the Company, the Acquiror or their respective employees, representatives and affiliates or otherwise reviewed by us. With respect to the financial forecasts and estimates we reviewed, we have assumed, at the direction of management of the Company and the Acquiror and with the Committee’s and the Board’s consent, without independent verification or investigation, that such forecasts and estimates were reasonably prepared on bases reflecting the best available information, estimates and judgments of management of the Company and the Acquiror as to the future financial condition and operating results of the Company and the Acquiror. We have also assumed that there were no material changes in the assets, liabilities, financial conditions, results of operations, business or prospects of the Company or the Acquiror since the respective dates of the last financial statements of the Company or the Acquiror that were made available to us, and that there is no information or any facts that would make any of the information reviewed by us incomplete or misleading. We have further assumed that the calculation of the Adjusted March 31 NAVs was performed in a manner materially consistent with how the Closing Company Net Asset Value and the Closing Acquiror Net Asset Value will be calculated in accordance with the Agreement (including Exhibit A thereto) and that the finally calculated Closing Company Net Asset Value and Closing Acquiror Net Asset Value will not differ materially from the Adjusted March 31 NAVs. We have neither made nor (other than as described in clause (d) above) obtained any independent evaluations or appraisals of the assets or liabilities, contingent or otherwise, of the Company or the Acquiror.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have assumed, with the consent of the Committee and the Board, that: (a) the representations and warranties of all parties to the Agreement and all other related documents and instruments that are referred to in the Agreement are true and correct; (b) each party to the Agreement and such other related documents and instruments will fully and timely perform all of the covenants and agreements required to be performed by such party under the Agreement and such other related documents and instruments; (c) all conditions to the consummation of the Transactions will be satisfied without waiver of such conditions; (d) that the Transactions will be consummated in a manner that complies with the applicable provisions of the Securities Act of 1933, as amended, the Securities Exchange Act of 1934, as amended, the Investment Company Act, and all other applicable federal and state statutes, rules and regulations; (e) that the BDC Election will be completed prior to the Merger in accordance with the terms of the Agreement; (f) that the Transactions will be consummated in accordance with the terms described in the Agreement without any waiver, modification or amendment of any material term, condition or agreement; (g) in the course of obtaining the necessary regulatory or third party approvals, consents and releases with respect to the Transactions, no delay, limitation, restriction or condition will be imposed that would result in the disposition of any assets of the Company or the Acquiror or otherwise have an adverse effect on the Transactions, the Company, the Acquiror or any of the expected benefits of the Transactions that would be material to our analysis or this Opinion; (h) that the shares of Acquiror Common Stock to be issued in the Merger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7" w:name="ny20077966x1_n14_302-annexc_pg3"/>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Company Common Stock will be listed on the Nasdaq Global Market immediately following the consummation of the Transactions; and (i) that the Transactions will qualify as a “reorganization” within the meaning of Section 368(a) of the Internal Revenue Code of 1986, as amended, or otherwise result in no gain or loss being recognized by holders of Company Common Stock for U.S. federal income tax purposes with respect to the receipt of Acquiror Common Stock in the Merger. In addition, we have relied upon and assumed, without independent verification, that the final form of the Agreement will not differ from the draft of the Agreement identified above in any respect material to our analyses or this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Opinion only addresses the fairness, from a financial point of view, to the stockholders of the Company (other than the Manager, the Acquiror, the Acquiror Adviser and any of their respective Affiliates) of the Exchange Ratio (as specified herein) and does not address any other aspect of the Transactions. We are not expressing any opinion as to the underlying valuation, future performance or long-term viability of the Company or the Acquiror or the price at which the Company Common Stock or Acquiror Common Stock will trade at any time. We express no view as to, and this Opinion does not address any aspect or implication of any other agreement, arrangement or understanding entered into in connection with the Transactions or otherwise, or the fairness of the amount or nature of the compensation resulting from the Transactions to any individual officers, directors or employees of the Company or the Acquiror, or any class of such persons, relative to the Exchange Ratio or otherwise. We further express no view as to, and this Opinion does not address: (i) the fairness of any portion or aspect of the Transactions to the holder of any class of securities, creditors or other constituencies of the Company or to any other party to the Agreement (including, without limitation, the holders of Acquiror Common Stock); (ii) the fairness of any portion or aspect of the Transactions to any one class or group of the Company’s or any other party’s securityholders or other constituents vis-à-vis any other class or group of the Company’s or such other party’s securityholders or other constituents (including the allocation of any consideration amongst or within such classes or groups of security holders or other constituents); (iii) the appropriate capital structure of the Company, whether the Company should be issuing debt or equity securities or a combination of both in connection with the Transactions, or the form, structure or any aspect or terms of any debt or equity financing for the Transactions or the likelihood of obtaining such financing; (iv) the tax consequences of the Transactions to any holder of Company Common Stock; (v) the trading price of Acquiror Common Stock following consummation of the Transactions; (vi) any aspect of the transactions contemplated by any support agreement, manager agreement, advisory agreement or other ancillary document entered into in connection with the Agreement; or (vii) whether or not the Company or the Acquiror or their respective securityholders or any other party is receiving or paying reasonably equivalent value in the Transactions. In addition, we express no view as to, and this Opinion does not address, the underlying business decision of the Company or any other party to enter into the Agreement or to proceed with or consummate the Transactions, nor does this Opinion address the relative merits of the Transactions as compared to any alternative business strategies that might exist for the Company or any other party to the Agreement or the effect of any other transaction in which the Company or any other such party might engage. We have not been requested to, and at the direction of the Committee did not, initiate or participate in any discussions or negotiations with, or solicit any indications of interest from, third parties with respect to the securities, assets, business or operations of the Company or any other party to the Agreement, or any alternatives to the Transactions. We express no view or opinion as to any such matters, including the terms that could have been obtained if any of the foregoing had been undertaken. This Opinion is necessarily 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this Opinion without the prior request of the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not legal, tax, regulatory or accounting advisors and have relied on the assessments made by the Company and its advisors with respect to such matters. This Opinion does not address any legal, tax, regulatory or accounting matters. In addition, this Opinion does not constitute a solvency opinion or a fair value opinion, and we have not evaluated the solvency or fair value of the Company or the Acquiror under any federal or state laws relating to bankruptcy, insolvency or similar matters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this Opinion was approved by an authorized committee of Oppenheimer. As part of our investment banking business, we are regularly engaged in valuations of businesses and securities in connection with acquisitions and mergers, underwritings, secondary distributions of securities, private placements and valuations for other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in rendering this Opinion to the Committee and the Board in connection with the Transactions and will receive a fee for our services, a portion of which will be payable upon delivery of this Opinion and the remainder of which is contingent upon consummation of the Transactions. The Company has agreed to reimburse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8" w:name="ny20077966x1_n14_302-annexc_pg4"/>
        <w:bookmarkEnd w:id="4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of our expenses and to indemnify us and certain related parties for certain potential liabilities arising out of our engagement. In the ordinary course of business, we and our affiliates may actively trade securities of the Company or the Acquiror for our and our affiliates’ own accounts and for the accounts of customers and, accordingly, may at any time hold a long or short position in such securities. In the past two years, Oppenheimer has not provided investment banking, financial advisory or other financial services to the Company, the Acquiror, the Manager, the Acquiror Adviser or any of their respective affiliates for which Oppenheimer has received compensation. Oppenheimer may provide such services to the Company, the Acquiror, the Manager, the Acquiror Adviser or their respective affiliates in the future and may receive compensation for such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consents to the inclusion of this Opinion in its entirety and reference to this Opinion in any joint proxy statement/prospectus or registration statement on Form N-14 (or any amendment or supplement thereto) filed with or required to be distributed to the Company’s or the Acquiror’s stockholders in connection with the Transactions so long as such inclusion and reference is in form and substance acceptable to Oppenheimer and its counsel.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and such other factors as we deemed relevant, it is our opinion that, as of the date of this Opinion, the Exchange Ratio (as specified herein) is fair, from a financial point of view, to the stockholders of the Company (other than the Manager, the Acquiror, the Acquiror Adviser and any of their respective Affiliates). This Opinion is for the use of the Committee and the Board (each in their capacity as such) in their evaluation of the Transactions and does not constitute a recommendation to the Committee, the Board or any stockholder as to how such person should vote or act with respect to any matters relating to the Transactions. </w:t>
      </w:r>
    </w:p>
    <w:tbl>
      <w:tblPr>
        <w:tblW w:w="4230" w:type="dxa"/>
        <w:jc w:val="left"/>
        <w:tblInd w:w="0" w:type="dxa"/>
        <w:tblLayout w:type="fixed"/>
        <w:tblCellMar>
          <w:top w:w="0" w:type="dxa"/>
          <w:left w:w="0" w:type="dxa"/>
          <w:bottom w:w="0" w:type="dxa"/>
          <w:right w:w="0" w:type="dxa"/>
        </w:tblCellMar>
      </w:tblPr>
      <w:tblGrid>
        <w:gridCol w:w="155"/>
        <w:gridCol w:w="140"/>
        <w:gridCol w:w="140"/>
        <w:gridCol w:w="3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400300"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7"/>
                          <a:stretch>
                            <a:fillRect/>
                          </a:stretch>
                        </pic:blipFill>
                        <pic:spPr bwMode="auto">
                          <a:xfrm>
                            <a:off x="0" y="0"/>
                            <a:ext cx="2400300" cy="581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OPPENHEIMER &amp; CO.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9" w:name="ny20077966x1_n14_303-annexd_pg1"/>
        <w:bookmarkEnd w:id="4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70" w:name="tANXD"/>
      <w:bookmarkEnd w:id="470"/>
      <w:r>
        <w:rPr>
          <w:rFonts w:ascii="Times New Roman;Times;serif" w:hAnsi="Times New Roman;Times;serif"/>
          <w:b/>
          <w:color w:val="000000"/>
          <w:sz w:val="20"/>
        </w:rPr>
        <w:t xml:space="preserve">ANNEX D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NEW BDC ADVISORY AGREEMENT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INVESTMENT ADVISORY AGREEMENT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BETWEEN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CHICAGO ATLANTIC BDC ADVISERS,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Investment Advisory Agreement (this “</w:t>
      </w:r>
      <w:r>
        <w:rPr>
          <w:rFonts w:ascii="Times New Roman;Times;serif" w:hAnsi="Times New Roman;Times;serif"/>
          <w:b/>
          <w:i/>
          <w:color w:val="000000"/>
          <w:sz w:val="20"/>
        </w:rPr>
        <w:t>Agreement</w:t>
      </w:r>
      <w:r>
        <w:rPr>
          <w:rFonts w:ascii="Times New Roman;Times;serif" w:hAnsi="Times New Roman;Times;serif"/>
          <w:color w:val="000000"/>
          <w:sz w:val="20"/>
        </w:rPr>
        <w:t xml:space="preserve">”) is made this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2026, by and between Chicago Atlantic Real Estate Finance, Inc. a Maryland corporation (the “</w:t>
      </w:r>
      <w:r>
        <w:rPr>
          <w:rFonts w:ascii="Times New Roman;Times;serif" w:hAnsi="Times New Roman;Times;serif"/>
          <w:b/>
          <w:i/>
          <w:color w:val="000000"/>
          <w:sz w:val="20"/>
        </w:rPr>
        <w:t>Company</w:t>
      </w:r>
      <w:r>
        <w:rPr>
          <w:rFonts w:ascii="Times New Roman;Times;serif" w:hAnsi="Times New Roman;Times;serif"/>
          <w:color w:val="000000"/>
          <w:sz w:val="20"/>
        </w:rPr>
        <w:t>”), and Chicago Atlantic BDC Advisers, LLC, a Delaware limited liability company (the “</w:t>
      </w:r>
      <w:r>
        <w:rPr>
          <w:rFonts w:ascii="Times New Roman;Times;serif" w:hAnsi="Times New Roman;Times;serif"/>
          <w:b/>
          <w:i/>
          <w:color w:val="000000"/>
          <w:sz w:val="20"/>
        </w:rPr>
        <w:t>Adviser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the Company has elected to be treated as a business development company (“</w:t>
      </w:r>
      <w:r>
        <w:rPr>
          <w:rFonts w:ascii="Times New Roman;Times;serif" w:hAnsi="Times New Roman;Times;serif"/>
          <w:b/>
          <w:i/>
          <w:color w:val="000000"/>
          <w:sz w:val="20"/>
        </w:rPr>
        <w:t>BDC</w:t>
      </w:r>
      <w:r>
        <w:rPr>
          <w:rFonts w:ascii="Times New Roman;Times;serif" w:hAnsi="Times New Roman;Times;serif"/>
          <w:b/>
          <w:color w:val="000000"/>
          <w:sz w:val="20"/>
        </w:rPr>
        <w:t>”</w:t>
      </w:r>
      <w:r>
        <w:rPr>
          <w:rFonts w:ascii="Times New Roman;Times;serif" w:hAnsi="Times New Roman;Times;serif"/>
          <w:b w:val="false"/>
          <w:color w:val="000000"/>
          <w:sz w:val="20"/>
        </w:rPr>
        <w:t>) under the Investment Company Act of 1940, as amended (the “</w:t>
      </w:r>
      <w:r>
        <w:rPr>
          <w:rFonts w:ascii="Times New Roman;Times;serif" w:hAnsi="Times New Roman;Times;serif"/>
          <w:b/>
          <w:i/>
          <w:color w:val="000000"/>
          <w:sz w:val="20"/>
        </w:rPr>
        <w:t>Investment Company Act</w:t>
      </w:r>
      <w:r>
        <w:rPr>
          <w:rFonts w:ascii="Times New Roman;Times;serif" w:hAnsi="Times New Roman;Times;serif"/>
          <w:b/>
          <w:color w:val="000000"/>
          <w:sz w:val="20"/>
        </w:rPr>
        <w:t>”</w:t>
      </w:r>
      <w:r>
        <w:rPr>
          <w:rFonts w:ascii="Times New Roman;Times;serif" w:hAnsi="Times New Roman;Times;serif"/>
          <w:b w:val="false"/>
          <w:color w:val="000000"/>
          <w:sz w:val="20"/>
        </w:rPr>
        <w:t xml:space="preserve">); and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the Adviser is an investment adviser that is registered under the Investment Advisers Act of 1940, as amended (the “</w:t>
      </w:r>
      <w:r>
        <w:rPr>
          <w:rFonts w:ascii="Times New Roman;Times;serif" w:hAnsi="Times New Roman;Times;serif"/>
          <w:b/>
          <w:i/>
          <w:color w:val="000000"/>
          <w:sz w:val="20"/>
        </w:rPr>
        <w:t>Advisers Act</w:t>
      </w:r>
      <w:r>
        <w:rPr>
          <w:rFonts w:ascii="Times New Roman;Times;serif" w:hAnsi="Times New Roman;Times;serif"/>
          <w:b/>
          <w:color w:val="000000"/>
          <w:sz w:val="20"/>
        </w:rPr>
        <w:t>”</w:t>
      </w:r>
      <w:r>
        <w:rPr>
          <w:rFonts w:ascii="Times New Roman;Times;serif" w:hAnsi="Times New Roman;Times;serif"/>
          <w:b w:val="false"/>
          <w:color w:val="000000"/>
          <w:sz w:val="20"/>
        </w:rPr>
        <w:t xml:space="preserve">); and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xml:space="preserve">, the Company desires to retain the Adviser to furnish investment advisory services to the Company in the manner and on the terms and conditions hereinafter set forth, and the Adviser desires to be retained to provide such services;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NOW, THEREFORE</w:t>
      </w:r>
      <w:r>
        <w:rPr>
          <w:rFonts w:ascii="Times New Roman;Times;serif" w:hAnsi="Times New Roman;Times;serif"/>
          <w:b w:val="false"/>
          <w:color w:val="000000"/>
          <w:sz w:val="20"/>
        </w:rPr>
        <w:t xml:space="preserve">, in consideration of the premises and the covenants hereinafter contained and for other good and valuable consideration, the receipt and adequacy of which is hereby acknowledged, the parties hereby agree as follows: </w:t>
      </w:r>
    </w:p>
    <w:tbl>
      <w:tblPr>
        <w:tblW w:w="2020" w:type="dxa"/>
        <w:jc w:val="left"/>
        <w:tblInd w:w="0" w:type="dxa"/>
        <w:tblLayout w:type="fixed"/>
        <w:tblCellMar>
          <w:top w:w="0" w:type="dxa"/>
          <w:left w:w="0" w:type="dxa"/>
          <w:bottom w:w="0" w:type="dxa"/>
          <w:right w:w="0" w:type="dxa"/>
        </w:tblCellMar>
      </w:tblPr>
      <w:tblGrid>
        <w:gridCol w:w="170"/>
        <w:gridCol w:w="185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8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Duties of the Adviser.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hereby employs the Adviser to act as the investment adviser to the Company and to manage the investment and reinvestment of the assets of the Company, subject to review by and the overall control of the Board of Directors of the Company (the “</w:t>
            </w:r>
            <w:r>
              <w:rPr>
                <w:rFonts w:ascii="Times New Roman;Times;serif" w:hAnsi="Times New Roman;Times;serif"/>
                <w:b/>
                <w:i/>
                <w:color w:val="000000"/>
                <w:sz w:val="20"/>
              </w:rPr>
              <w:t>Board</w:t>
            </w:r>
            <w:r>
              <w:rPr>
                <w:rFonts w:ascii="Times New Roman;Times;serif" w:hAnsi="Times New Roman;Times;serif"/>
                <w:color w:val="000000"/>
                <w:sz w:val="20"/>
              </w:rPr>
              <w:t>”), for the period and upon the terms and conditions herein set forth, (i) in accordance with the investment objective, policies and restrictions that are set forth in the reports and/or registration statements that the Company files with the Securities and Exchange Commission (the “</w:t>
            </w:r>
            <w:r>
              <w:rPr>
                <w:rFonts w:ascii="Times New Roman;Times;serif" w:hAnsi="Times New Roman;Times;serif"/>
                <w:b/>
                <w:i/>
                <w:color w:val="000000"/>
                <w:sz w:val="20"/>
              </w:rPr>
              <w:t>SEC</w:t>
            </w:r>
            <w:r>
              <w:rPr>
                <w:rFonts w:ascii="Times New Roman;Times;serif" w:hAnsi="Times New Roman;Times;serif"/>
                <w:color w:val="000000"/>
                <w:sz w:val="20"/>
              </w:rPr>
              <w:t xml:space="preserve">”) from time to time; (ii) in accordance with all other applicable federal and state laws, rules and regulations, and the Company’s charter and by-laws (each as may be amended from time to time); and (iii) in accordance with the Investment Company Act. Without limiting the generality of the foregoing, the Adviser shall, during the term, and subject to the provisions of, this Agreement: (A) determine the composition of the portfolio of the Company, the nature and timing of the changes therein, and the manner of implementing such changes; (B) identify, evaluate and negotiate the structure of the investments made by the Company; (C) execute, monitor and service the Company’s investments; (D) determine the securities and other assets that the Company will purchase, retain, or sell; (E) perform due diligence on prospective portfolio companies; and (F)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negotiation, execution and delivery of all documents relating to the Company’s investments and the placing of orders for other purchase or sale transactions on behalf of the Company. In the event that the Company determines to obtain debt financing (or refinance such financing), the Adviser shall arrange for such financing on the Company’s behalf, subject to the oversight and approval of the Board. If it is necessary or appropriate, in the good faith judgment of the Adviser, for the Company to make investments through a special purpose vehicle, the Adviser shall have authority to create or arrange for the creation of such special purpose vehicle and to make such investments through such special purpose vehicle.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Adviser hereby accepts such employment, and agrees during the term hereof to render the services described herein for the compensation provided 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1" w:name="ny20077966x1_n14_303-annexd_pg2"/>
        <w:bookmarkEnd w:id="4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Adviser is hereby authorized to enter into one or more sub-advisory agreements with other investment advisers (each, a “</w:t>
            </w:r>
            <w:r>
              <w:rPr>
                <w:rFonts w:ascii="Times New Roman;Times;serif" w:hAnsi="Times New Roman;Times;serif"/>
                <w:b/>
                <w:i/>
                <w:color w:val="000000"/>
                <w:sz w:val="20"/>
              </w:rPr>
              <w:t>Sub-Adviser</w:t>
            </w:r>
            <w:r>
              <w:rPr>
                <w:rFonts w:ascii="Times New Roman;Times;serif" w:hAnsi="Times New Roman;Times;serif"/>
                <w:color w:val="000000"/>
                <w:sz w:val="20"/>
              </w:rPr>
              <w:t xml:space="preserve">”)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Adviser, and not the Company, shall be responsible for any compensation payable to any Sub-Adviser. Any sub-advisory agreement entered into by the Adviser shall be in accordance with the requirements of the Investment Company Act and other applicable federal and state law.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Adviser shall, for all purposes herein provided, be deemed to be an independent contractor and, except as expressly provided or authorized herein, shall have no authority to act for or represent the Company in any way or otherwise be deemed an agent of the Company.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review by, and the overall control of, the Board, the Adviser shall keep and preserve, in the manner and for the period required by the Investment Company Act, any books and records relevant to the provision of its investment advisory services to the Company, and shall specifically maintain all books and records with respect to the Company’s portfolio transactions, and shall render to the Board such periodic and special reports as the Board may reasonably request. The Adviser agrees that all records that it maintains for the Company are the property of the Company, and shall surrender promptly to the Company any such records upon the Company’s request, provided that the Adviser may retain a copy of such records. </w:t>
            </w:r>
          </w:p>
        </w:tc>
      </w:tr>
    </w:tbl>
    <w:tbl>
      <w:tblPr>
        <w:tblW w:w="5950" w:type="dxa"/>
        <w:jc w:val="left"/>
        <w:tblInd w:w="0" w:type="dxa"/>
        <w:tblLayout w:type="fixed"/>
        <w:tblCellMar>
          <w:top w:w="0" w:type="dxa"/>
          <w:left w:w="0" w:type="dxa"/>
          <w:bottom w:w="0" w:type="dxa"/>
          <w:right w:w="0" w:type="dxa"/>
        </w:tblCellMar>
      </w:tblPr>
      <w:tblGrid>
        <w:gridCol w:w="170"/>
        <w:gridCol w:w="57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57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Company’s Responsibilities and Expenses Payable by the Company.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herein,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the cost of its organization and any offerings; the cost of calculating its net asset value, including the cost of any third-party valuation services; the cost of effecting any sales and repurchases of its common stock and other securities; fees and expenses payable under any underwriting agreements, if any; debt service and other costs of borrowings or other financing arrangements; costs of hedging; expenses, including travel expenses, incurred by the Adviser, or members of the investment team, or payable to third-parties, performing due diligence on prospective portfolio companies and, if necessary, enforcing the Company’s rights; costs, including legal fees, associated with compliance under cannabis laws; transfer agent and custodial fees; fees and expenses associated with marketing efforts; federal and state registration fees; any stock exchange listing fees and fees payable to rating agencies; federal, state and local taxes; independent directors’ fees and expenses, including travel expenses; 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 the costs of any reports, proxy statements or other notices to stockholders (including printing and mailing costs), the costs of any stockholder or director meetings and the compensation of personnel responsible for the preparation of the foregoing and related matters; commissions and other compensation payable to brokers or dealers; research and market data; fidelity bond, directors and officers errors and omissions liability insurance and other insurance premiums; direct costs and expenses of administration, including printing, mailing and staff; fees and expenses associated with independent audits, and outside legal and consulting costs; costs of winding up; costs incurred in connection with the formation or maintenance of entities or vehicles to hold the Company’s assets for tax or other purposes; extraordinary expenses (such as litigation or indemnification); and costs associated with reporting and compliance obligations under the Investment Company Act and applicable federal and state securities laws. Notwithstanding anything to the contrary contained herein, the Company shall reimburse the Adviser (or its affiliates) for an allocable portion of the compensation paid by the Adviser (or its affiliates) to the Company’s Chief Compliance Officer and Chief Financial Officer and their respective staffs (based on a percentage of time such individuals devote, on an estimated basis, to the business affairs of the Company).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of the Adviser.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agrees to pay, and the Adviser agrees to accept, as compensation for the services provided by the Adviser hereunder, a base management fee (the “</w:t>
      </w:r>
      <w:r>
        <w:rPr>
          <w:rFonts w:ascii="Times New Roman;Times;serif" w:hAnsi="Times New Roman;Times;serif"/>
          <w:b/>
          <w:i/>
          <w:color w:val="000000"/>
          <w:sz w:val="20"/>
        </w:rPr>
        <w:t>Base Management Fee</w:t>
      </w:r>
      <w:r>
        <w:rPr>
          <w:rFonts w:ascii="Times New Roman;Times;serif" w:hAnsi="Times New Roman;Times;serif"/>
          <w:color w:val="000000"/>
          <w:sz w:val="20"/>
        </w:rPr>
        <w:t>”) and an incentive fee (the “</w:t>
      </w:r>
      <w:r>
        <w:rPr>
          <w:rFonts w:ascii="Times New Roman;Times;serif" w:hAnsi="Times New Roman;Times;serif"/>
          <w:b/>
          <w:i/>
          <w:color w:val="000000"/>
          <w:sz w:val="20"/>
        </w:rPr>
        <w:t>Incentive Fee</w:t>
      </w:r>
      <w:r>
        <w:rPr>
          <w:rFonts w:ascii="Times New Roman;Times;serif" w:hAnsi="Times New Roman;Times;serif"/>
          <w:color w:val="000000"/>
          <w:sz w:val="20"/>
        </w:rPr>
        <w:t xml:space="preserve">”) as hereinafter set forth. The Adviser may agree to temporarily or permanently waive or defer, in whole or in part, the Base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2" w:name="ny20077966x1_n14_303-annexd_pg3"/>
        <w:bookmarkEnd w:id="4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Fee and/or the Incentive Fee. See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for examples of how these fees are calculated. Such examples are included for illustrative purposes only and are not considered part of this Agreement. The Company shall make any payments due hereunder to the Adviser or to the Adviser’s designee as the Adviser may otherwise direct.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Base Management Fee shall be calculated at an annual rate of 1.75% of the Company’s gross assets, including any investments made with borrowings, but excluding any cash and cash equivalents. For purposes of this Agreement, the term “cash and cash equivalents” will have the meaning ascribed to it from time to time in the notes to the financial statements that the Company files with the SEC. The Base Management Fee shall be payable quarterly in arrears, and shall be calculated based on the average value of the Company’s gross assets at the end of the two most recently completed quarters. The Base Management Fee for any partial month or quarter shall be appropriately prorated and adjusted for any share issuances or repurchases during the relevant month or quarter.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determination of gross assets will reflect changes in the fair value of the Company’s portfolio investments. The fair value of derivatives and swaps held in the Company’s portfolio, which will not necessarily equal the notional value of such derivatives and swaps, will be included in the calculation of gross assets. </w:t>
      </w:r>
    </w:p>
    <w:tbl>
      <w:tblPr>
        <w:tblW w:w="4765" w:type="dxa"/>
        <w:jc w:val="left"/>
        <w:tblInd w:w="0" w:type="dxa"/>
        <w:tblLayout w:type="fixed"/>
        <w:tblCellMar>
          <w:top w:w="0" w:type="dxa"/>
          <w:left w:w="0" w:type="dxa"/>
          <w:bottom w:w="0" w:type="dxa"/>
          <w:right w:w="0" w:type="dxa"/>
        </w:tblCellMar>
      </w:tblPr>
      <w:tblGrid>
        <w:gridCol w:w="245"/>
        <w:gridCol w:w="45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Incentive Fee shall consist of two parts, as follows: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first part of the Incentive Fee (the “</w:t>
            </w:r>
            <w:r>
              <w:rPr>
                <w:rFonts w:ascii="Times New Roman;Times;serif" w:hAnsi="Times New Roman;Times;serif"/>
                <w:b/>
                <w:i/>
                <w:color w:val="000000"/>
                <w:sz w:val="20"/>
              </w:rPr>
              <w:t>Incentive Fee on Income</w:t>
            </w:r>
            <w:r>
              <w:rPr>
                <w:rFonts w:ascii="Times New Roman;Times;serif" w:hAnsi="Times New Roman;Times;serif"/>
                <w:color w:val="000000"/>
                <w:sz w:val="20"/>
              </w:rPr>
              <w:t>”) shall be calculated and payable quarterly in arrears based on the Company’s “Pre-Incentive Fee Net Investment Income” for the immediately preceding quarter. For this purpose, “Pre-Incentive Fee Net Investment Income” means interest income, dividend income and any other income (including (i) any other fees (other than fees for providing managerial assistance), such as commitment, origination, structuring, advisory, diligence and consulting fees or other fees that the Company receives from portfolio companies, (ii) any gain realized on the extinguishment of the Company’s debt and (iii) any other income of any kind that the Company is required to distribute to its stockholders in order to maintain its regulated investment company (“</w:t>
            </w:r>
            <w:r>
              <w:rPr>
                <w:rFonts w:ascii="Times New Roman;Times;serif" w:hAnsi="Times New Roman;Times;serif"/>
                <w:b/>
                <w:i/>
                <w:color w:val="000000"/>
                <w:sz w:val="20"/>
              </w:rPr>
              <w:t>RIC</w:t>
            </w:r>
            <w:r>
              <w:rPr>
                <w:rFonts w:ascii="Times New Roman;Times;serif" w:hAnsi="Times New Roman;Times;serif"/>
                <w:color w:val="000000"/>
                <w:sz w:val="20"/>
              </w:rPr>
              <w:t xml:space="preserve">”) status) accrued during the quarter, minus the Company’s operating expenses for the quarter (including the Base Management Fee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Company has not yet received and may never receive in cash. Pre-Incentive Fee Net Investment Income does not include any realized capital gains, realized capital losses or unrealized capital appreciation or depreciation. Pre-Incentive Fee Net Investment Income, expressed as a rate of return on the value of the Company’s net assets at the end of the immediately preceding quarter, shall be compared to a “hurdle rate” of 1.75% per quarter (7% annualized), subject to a “catch-up” provision measured as of the end of each quarter. The Company’s net investment income used to calculate the Incentive Fee on Income is also included in the amount of the Company’s gross assets used to calculate the Base Management Fee. The operation of the Incentive Fee on Income with respect to the Company’s Pre-Incentive Fee Net Investment Income for each quarter is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Incentive Fee on Income is payable to the Adviser in any quarter in which the Company’s Pre-Incentive Fee Net Investment Income does not exceed the hurdle rate of 1.75%;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100% of the Company’s Pre-Incentive Fee Net Investment Income with respect to that portion of such Pre-Incentive Fee Net Investment Income, if any, that exceeds the hurdle rate but is less than or equal to 2.19% in any quarter (8.76% annualized) is payable to the Adviser. This portion of the Pre-Incentive Fee Net Investment Income (which exceeds the hurdle rate but is less than or equal to 2.19%) is referred to as the “catch-up.” The “catch-up” provision is intended to provide the Adviser with an Incentive Fee on Income of 20% on all of the Company’s Pre-Incentive Fee Net Investment Income as if a hurdle rate did not apply when the Company’s Pre-Incentive Fee Net Investment Income exceeds 2.19% in any quarter;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20% of the amount of the Company’s Pre-Incentive Fee Net Investment Income, if any, that exceeds 2.19% in any quarter (8.76% annualized) is payable to the Adviser (i.e., once the hurdle rate is reached and the catch-up is achieved, 20% of all Pre-Incentive Fee Net Investment Income thereafter is allocated to the Adviser);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3" w:name="ny20077966x1_n14_303-annexd_pg4"/>
        <w:bookmarkEnd w:id="4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computing the Incentive Fee on Income, the calculation methodology will look through derivatives or swaps as if the Company owned the reference assets directly. Therefore, net interest income, if any, associated with a derivative or swap (which is defined as the difference between (i) the interest income and transaction fees received in respect of the reference assets of the derivative or swap and (ii) all interest and other expenses paid by the Company to the derivative or swap counterparty) will be included in the calculation of Pre-Incentive Fee Net Investment Income for purposes of the Incentive Fee on Income.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second part of the Incentive Fee (the “</w:t>
            </w:r>
            <w:r>
              <w:rPr>
                <w:rFonts w:ascii="Times New Roman;Times;serif" w:hAnsi="Times New Roman;Times;serif"/>
                <w:b/>
                <w:i/>
                <w:color w:val="000000"/>
                <w:sz w:val="20"/>
              </w:rPr>
              <w:t>Incentive Fee on Capital Gains</w:t>
            </w:r>
            <w:r>
              <w:rPr>
                <w:rFonts w:ascii="Times New Roman;Times;serif" w:hAnsi="Times New Roman;Times;serif"/>
                <w:color w:val="000000"/>
                <w:sz w:val="20"/>
              </w:rPr>
              <w:t xml:space="preserve">”) shall be determined and payable in arrears as of the end of each fiscal year (or upon termination of this Agreement, as of the termination date), and shall equal 20% of the Company’s realized capital gains, if any, on a cumulative basis from inception through the end of each fiscal year, computed net of all realized capital losses and unrealized capital depreciation on a cumulative basis, less the aggregate amount of any previously paid Incentive Fees on Capital Gains; provided that the Incentive Fee on Capital Gains determined at the end of the Company’s first fiscal year will be calculated for a period shorter than twelve months to take into account any realized capital gains computed net of all realized capital losses and unrealized capital depreciation from inception. In no event will the Incentive Fee on Capital Gains payable pursuant hereto be in excess of the amount permitted by the Advisers Act, including Section 205 thereof.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computing the Incentive Fee on Capital Gains, the calculation methodology will look through derivatives or swaps as if the Company owned the reference assets directly. Therefore, realized gains and realized losses on the disposition of any reference assets, as well as unrealized depreciation on reference assets retained in the derivative or swap, will be included on a cumulative basis in the calculation of the Incentive Fee on Capital Gains. </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Covenants of the Adviser.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Adviser covenants that it will maintain its registration as an investment adviser under the Advisers Act. The Adviser agrees that its activities will at all times be in compliance in all material respects with all applicable federal and state laws governing its operations and investments. </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Brokerage Commissions.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 </w:t>
      </w:r>
    </w:p>
    <w:tbl>
      <w:tblPr>
        <w:tblW w:w="2830" w:type="dxa"/>
        <w:jc w:val="left"/>
        <w:tblInd w:w="0" w:type="dxa"/>
        <w:tblLayout w:type="fixed"/>
        <w:tblCellMar>
          <w:top w:w="0" w:type="dxa"/>
          <w:left w:w="0" w:type="dxa"/>
          <w:bottom w:w="0" w:type="dxa"/>
          <w:right w:w="0" w:type="dxa"/>
        </w:tblCellMar>
      </w:tblPr>
      <w:tblGrid>
        <w:gridCol w:w="170"/>
        <w:gridCol w:w="266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6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Activities of the Adviser.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services of the Adviser to the Company are not exclusive, and the Adviser, and each of its affiliates,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member (including its members and the owners of its members),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as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4" w:name="ny20077966x1_n14_303-annexd_pg5"/>
        <w:bookmarkEnd w:id="474"/>
        <w:r>
          <w:rPr>
            <w:rStyle w:val="InternetLink"/>
            <w:rFonts w:ascii="Times New Roman;Times;Serif" w:hAnsi="Times New Roman;Times;Serif"/>
            <w:b/>
            <w:caps w:val="false"/>
            <w:smallCaps w:val="false"/>
            <w:color w:val="000000"/>
            <w:sz w:val="16"/>
          </w:rPr>
          <w:t>TABLE OF CONTENTS</w:t>
        </w:r>
      </w:hyperlink>
    </w:p>
    <w:tbl>
      <w:tblPr>
        <w:tblW w:w="5335" w:type="dxa"/>
        <w:jc w:val="left"/>
        <w:tblInd w:w="0" w:type="dxa"/>
        <w:tblLayout w:type="fixed"/>
        <w:tblCellMar>
          <w:top w:w="0" w:type="dxa"/>
          <w:left w:w="0" w:type="dxa"/>
          <w:bottom w:w="0" w:type="dxa"/>
          <w:right w:w="0" w:type="dxa"/>
        </w:tblCellMar>
      </w:tblPr>
      <w:tblGrid>
        <w:gridCol w:w="170"/>
        <w:gridCol w:w="516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5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Responsibility of Dual Directors, Officers and/or Employees.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person who is a manager, partner, member, officer or employee of the Adviser is or becomes a director, officer and/or employee of the Company and acts as such in any business of the Company, then such manager, partner, member, officer and/or employee of the Adviser shall be deemed to be acting in such capacity solely for the Company, and not as a manager, partner, member, officer or employee of the Adviser or under the control or direction of the Adviser, even if paid by the Adviser. </w:t>
      </w:r>
    </w:p>
    <w:tbl>
      <w:tblPr>
        <w:tblW w:w="4870" w:type="dxa"/>
        <w:jc w:val="left"/>
        <w:tblInd w:w="0" w:type="dxa"/>
        <w:tblLayout w:type="fixed"/>
        <w:tblCellMar>
          <w:top w:w="0" w:type="dxa"/>
          <w:left w:w="0" w:type="dxa"/>
          <w:bottom w:w="0" w:type="dxa"/>
          <w:right w:w="0" w:type="dxa"/>
        </w:tblCellMar>
      </w:tblPr>
      <w:tblGrid>
        <w:gridCol w:w="170"/>
        <w:gridCol w:w="470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47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of the Adviser; Indemnification.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Adviser (and its officers, managers, partners, members (and their members, including the owners of their members), agents, employees, controlling persons and any other person or entity affiliated with the Adviser)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and the Company shall indemnify, defend and protect the Adviser (and its officers, managers, partners, members (and their members, including the owners of their members), agents, employees, controlling persons and any other person or entity affiliated with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this Agreement, or otherwise as an investment adviser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w:t>
      </w:r>
    </w:p>
    <w:tbl>
      <w:tblPr>
        <w:tblW w:w="4900" w:type="dxa"/>
        <w:jc w:val="left"/>
        <w:tblInd w:w="0" w:type="dxa"/>
        <w:tblLayout w:type="fixed"/>
        <w:tblCellMar>
          <w:top w:w="0" w:type="dxa"/>
          <w:left w:w="0" w:type="dxa"/>
          <w:bottom w:w="0" w:type="dxa"/>
          <w:right w:w="0" w:type="dxa"/>
        </w:tblCellMar>
      </w:tblPr>
      <w:tblGrid>
        <w:gridCol w:w="170"/>
        <w:gridCol w:w="47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Duration and Termination of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shall become effective as of the first date above written. This Agreement shall continue in effect for two years from the date hereof,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 This Agreement may be terminated at any time, without the payment of any penalty, upon 60 days’ written notice, by the vote of a majority of the outstanding voting securities of the Company, or by the vote of the Board, or by the Adviser. This Agreement shall automatically terminate in the event of its “assignment” (as such term is defined for purposes of Section 15(a)(4) of the Investment Company Act) and upon the completion of the merger between the Company and Chicago Atlantic BDC, Inc. without any further liability on the part of the Company except as expressly provided in the immediately succeeding sentence.. The provisions of Paragraph 8 of this Agreement shall remain in full force and effect, and the Adviser shall remain entitled to the benefits thereof, notwithstanding any termination of this Agreement. </w:t>
      </w:r>
    </w:p>
    <w:tbl>
      <w:tblPr>
        <w:tblW w:w="1000" w:type="dxa"/>
        <w:jc w:val="left"/>
        <w:tblInd w:w="0" w:type="dxa"/>
        <w:tblLayout w:type="fixed"/>
        <w:tblCellMar>
          <w:top w:w="0" w:type="dxa"/>
          <w:left w:w="0" w:type="dxa"/>
          <w:bottom w:w="0" w:type="dxa"/>
          <w:right w:w="0" w:type="dxa"/>
        </w:tblCellMar>
      </w:tblPr>
      <w:tblGrid>
        <w:gridCol w:w="275"/>
        <w:gridCol w:w="7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7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Notices.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notice under this Agreement shall be given in writing, addressed and delivered or mailed, postage prepaid, to the other party at its principal office.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Amendments.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Agreement may be amended pursuant to a written instrument by mutual consent of the parties. </w:t>
      </w:r>
    </w:p>
    <w:tbl>
      <w:tblPr>
        <w:tblW w:w="3340" w:type="dxa"/>
        <w:jc w:val="left"/>
        <w:tblInd w:w="0" w:type="dxa"/>
        <w:tblLayout w:type="fixed"/>
        <w:tblCellMar>
          <w:top w:w="0" w:type="dxa"/>
          <w:left w:w="0" w:type="dxa"/>
          <w:bottom w:w="0" w:type="dxa"/>
          <w:right w:w="0" w:type="dxa"/>
        </w:tblCellMar>
      </w:tblPr>
      <w:tblGrid>
        <w:gridCol w:w="275"/>
        <w:gridCol w:w="306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30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Entire Agreement; Governing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and the Administration Agreement contain the entire agreement of the parties and supersede all prior agreements, understandings and arrangements with respect to the subject matter hereof and thereof. This Agreement shall be construed in accordance with the laws of the State of New York and the applicable provisions of the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5" w:name="ny20077966x1_n14_303-annexd_pg6"/>
        <w:bookmarkEnd w:id="4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Act. To the extent the applicable laws of the State of New York, or any of the provisions herein, conflict with the provisions of the Investment Company Act, the latter shall control. To the fullest extent permitted by law, in the event of any dispute arising out of the terms and conditions of this Agreement, the parties hereto consent and submit to the jurisdiction of the courts of the State of New York in the county of New York, and of the U.S. District Court for the Southern District of New York.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No Third-Party Beneficiary.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expressly provided for in Paragraph 8 of this Agreement, this Agreement does not, and is not intended to, confer any rights or remedies upon any person other than the parties to this Agreement; there are no third-party beneficiaries of this Agreement, including, but not limited to, stockholders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Severability.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Every term and provision of this Agreement is intended to be severable. If any term or provision hereof is illegal or invalid for any reason whatsoever, such term or provision will be enforced to the maximum extent permitted by law and, in any event, such illegality or invalidity shall not affect the validity of the remainder of this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15. Counterparts.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may be executed in any number of counterparts, each of which shall be deemed an original and all of which taken together shall constitute a single agreement. Either party may deliver an executed copy of this Agreement, and of any documents contemplated hereby, by facsimile or other electronic transmission to the other party, and such delivery shall have the same force and effect as any other delivery of a manually signed copy of this Agreement or of such other documents.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Left Blank]</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6" w:name="ny20077966x1_n14_303-annexd_pg7"/>
        <w:bookmarkEnd w:id="4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have caused this Agreement to be duly executed on the date first above written. </w:t>
      </w:r>
    </w:p>
    <w:tbl>
      <w:tblPr>
        <w:tblW w:w="4893" w:type="dxa"/>
        <w:jc w:val="left"/>
        <w:tblInd w:w="0" w:type="dxa"/>
        <w:tblLayout w:type="fixed"/>
        <w:tblCellMar>
          <w:top w:w="0" w:type="dxa"/>
          <w:left w:w="0" w:type="dxa"/>
          <w:bottom w:w="0" w:type="dxa"/>
          <w:right w:w="0" w:type="dxa"/>
        </w:tblCellMar>
      </w:tblPr>
      <w:tblGrid>
        <w:gridCol w:w="1937"/>
        <w:gridCol w:w="484"/>
        <w:gridCol w:w="484"/>
        <w:gridCol w:w="484"/>
        <w:gridCol w:w="484"/>
        <w:gridCol w:w="484"/>
        <w:gridCol w:w="536"/>
      </w:tblGrid>
      <w:tr>
        <w:trPr/>
        <w:tc>
          <w:tcPr>
            <w:tcW w:w="4893" w:type="dxa"/>
            <w:gridSpan w:val="7"/>
            <w:tcBorders/>
            <w:vAlign w:val="center"/>
          </w:tcPr>
          <w:p>
            <w:pPr>
              <w:pStyle w:val="TableContents"/>
              <w:bidi w:val="0"/>
              <w:spacing w:before="0" w:after="0"/>
              <w:jc w:val="left"/>
              <w:rPr/>
            </w:pPr>
            <w:r>
              <w:rPr/>
              <w:t> </w:t>
            </w:r>
          </w:p>
        </w:tc>
      </w:tr>
      <w:tr>
        <w:trPr/>
        <w:tc>
          <w:tcPr>
            <w:tcW w:w="4893"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CHICAGO ATLANTIC REAL ESTATE FINANCE, INC. </w:t>
            </w:r>
          </w:p>
        </w:tc>
      </w:tr>
      <w:tr>
        <w:trPr/>
        <w:tc>
          <w:tcPr>
            <w:tcW w:w="1937" w:type="dxa"/>
            <w:tcBorders/>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color w:val="000000"/>
              </w:rPr>
            </w:pPr>
            <w:r>
              <w:rPr>
                <w:color w:val="000000"/>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color w:val="000000"/>
              </w:rPr>
            </w:pPr>
            <w:r>
              <w:rPr>
                <w:color w:val="000000"/>
              </w:rPr>
              <w:t> </w:t>
            </w:r>
          </w:p>
        </w:tc>
      </w:tr>
      <w:tr>
        <w:trPr/>
        <w:tc>
          <w:tcPr>
            <w:tcW w:w="1937"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bottom w:val="single" w:sz="8" w:space="0" w:color="000000"/>
            </w:tcBorders>
            <w:tcMar>
              <w:bottom w:w="28" w:type="dxa"/>
            </w:tcMar>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484" w:type="dxa"/>
            <w:tcBorders/>
            <w:vAlign w:val="center"/>
          </w:tcPr>
          <w:p>
            <w:pPr>
              <w:pStyle w:val="TableContents"/>
              <w:bidi w:val="0"/>
              <w:spacing w:before="0" w:after="0"/>
              <w:jc w:val="left"/>
              <w:rPr/>
            </w:pPr>
            <w:r>
              <w:rPr/>
              <w:t> </w:t>
            </w:r>
          </w:p>
        </w:tc>
        <w:tc>
          <w:tcPr>
            <w:tcW w:w="536" w:type="dxa"/>
            <w:tcBorders/>
            <w:vAlign w:val="center"/>
          </w:tcPr>
          <w:p>
            <w:pPr>
              <w:pStyle w:val="TableContents"/>
              <w:bidi w:val="0"/>
              <w:spacing w:before="0" w:after="0"/>
              <w:jc w:val="left"/>
              <w:rPr/>
            </w:pPr>
            <w:r>
              <w:rPr/>
              <w:t> </w:t>
            </w:r>
          </w:p>
        </w:tc>
      </w:tr>
    </w:tbl>
    <w:tbl>
      <w:tblPr>
        <w:tblW w:w="4035" w:type="dxa"/>
        <w:jc w:val="left"/>
        <w:tblInd w:w="0" w:type="dxa"/>
        <w:tblLayout w:type="fixed"/>
        <w:tblCellMar>
          <w:top w:w="0" w:type="dxa"/>
          <w:left w:w="0" w:type="dxa"/>
          <w:bottom w:w="0" w:type="dxa"/>
          <w:right w:w="0" w:type="dxa"/>
        </w:tblCellMar>
      </w:tblPr>
      <w:tblGrid>
        <w:gridCol w:w="1598"/>
        <w:gridCol w:w="399"/>
        <w:gridCol w:w="399"/>
        <w:gridCol w:w="399"/>
        <w:gridCol w:w="399"/>
        <w:gridCol w:w="399"/>
        <w:gridCol w:w="442"/>
      </w:tblGrid>
      <w:tr>
        <w:trPr/>
        <w:tc>
          <w:tcPr>
            <w:tcW w:w="4035" w:type="dxa"/>
            <w:gridSpan w:val="7"/>
            <w:tcBorders/>
            <w:vAlign w:val="center"/>
          </w:tcPr>
          <w:p>
            <w:pPr>
              <w:pStyle w:val="TableContents"/>
              <w:bidi w:val="0"/>
              <w:spacing w:before="0" w:after="0"/>
              <w:jc w:val="left"/>
              <w:rPr/>
            </w:pPr>
            <w:r>
              <w:rPr/>
              <w:t> </w:t>
            </w:r>
          </w:p>
        </w:tc>
      </w:tr>
      <w:tr>
        <w:trPr/>
        <w:tc>
          <w:tcPr>
            <w:tcW w:w="403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CHICAGO ATLANTIC BDC ADVISERS, LLC </w:t>
            </w:r>
          </w:p>
        </w:tc>
      </w:tr>
      <w:tr>
        <w:trPr/>
        <w:tc>
          <w:tcPr>
            <w:tcW w:w="1598" w:type="dxa"/>
            <w:tcBorders/>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color w:val="000000"/>
              </w:rPr>
            </w:pPr>
            <w:r>
              <w:rPr>
                <w:color w:val="000000"/>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color w:val="000000"/>
              </w:rPr>
            </w:pPr>
            <w:r>
              <w:rPr>
                <w:color w:val="000000"/>
              </w:rPr>
              <w:t> </w:t>
            </w:r>
          </w:p>
        </w:tc>
      </w:tr>
      <w:tr>
        <w:trPr/>
        <w:tc>
          <w:tcPr>
            <w:tcW w:w="1598"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bottom w:val="single" w:sz="8" w:space="0" w:color="000000"/>
            </w:tcBorders>
            <w:tcMar>
              <w:bottom w:w="28" w:type="dxa"/>
            </w:tcMar>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399" w:type="dxa"/>
            <w:tcBorders/>
            <w:vAlign w:val="center"/>
          </w:tcPr>
          <w:p>
            <w:pPr>
              <w:pStyle w:val="TableContents"/>
              <w:bidi w:val="0"/>
              <w:spacing w:before="0" w:after="0"/>
              <w:jc w:val="left"/>
              <w:rPr/>
            </w:pPr>
            <w:r>
              <w:rPr/>
              <w:t> </w:t>
            </w:r>
          </w:p>
        </w:tc>
        <w:tc>
          <w:tcPr>
            <w:tcW w:w="44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7" w:name="ny20077966x1_n14_303-annexd_pg8"/>
        <w:bookmarkEnd w:id="4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Appendix A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Example 1: Incentive Fee on Income for Each Quarter</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1</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income (including interest, dividends, fees, etc.) = 1.25%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Hurdle rate(1) = 1.75%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fee(2) = 0.4375%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expenses (legal, accounting, custodian, transfer agent, etc.) = 0.2%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(investment income - (management fee + other expenses)) = 0.6125%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does not exceed hurdle rate; therefore, there is no Incentive Fee on Income.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2</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income (including interest, dividends, fees, etc.) = 2.65%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Hurdle rate(1) = 1.75%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fee(2) = 0.4375%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expenses (legal, accounting, custodian, transfer agent, etc.) = 0.2%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(investment income - (management fee + other expenses)) = 2.0125%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Pre-Incentive Fee Net Investment Income (subject to “hurdle rate” and “catch-up”)(3)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100% × (2.0125% - 1.75%) = 0.2625%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exceeds the hurdle rate, but does not fully satisfy the “catch-up” provision; therefore, the Incentive Fee on Income is 0.2625%.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3</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income (including interest, dividends, fees, etc.) = 3.25%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Hurdle rate(1) = 1.75% </w:t>
      </w:r>
    </w:p>
    <w:p>
      <w:pPr>
        <w:pStyle w:val="TextBody"/>
        <w:bidi w:val="0"/>
        <w:spacing w:lineRule="auto" w:line="240"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Management fee(2) = 0.4375%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expenses (legal, accounting, custodian, transfer agent, etc.) = 0.2%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(investment income - (management fee + other expenses)) = 2.6125%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Pre-Incentive Fee Net Investment Income (subject to “hurdle rate” and “catch-up”)(3)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“catch-up” + (20% × (Pre-Incentive Fee Net Investment Income - 2.19%))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Catch-up = 2.19% - 1.75% = 0.44%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Fee on Income = (100% × 0.44%) + (20% × (2.6125% - 2.19%)) = 0.44% + (20% × 0.4225%) = 0.44% + 0.0845% = 0.5245%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Pre-Incentive Fee Net Investment Income exceeds the hurdle rate, and fully satisfies the “catch-up” provision; therefore, the Incentive Fee on Income is 0.5245% </w:t>
      </w:r>
    </w:p>
    <w:tbl>
      <w:tblPr>
        <w:tblW w:w="2935" w:type="dxa"/>
        <w:jc w:val="left"/>
        <w:tblInd w:w="0" w:type="dxa"/>
        <w:tblLayout w:type="fixed"/>
        <w:tblCellMar>
          <w:top w:w="0" w:type="dxa"/>
          <w:left w:w="0" w:type="dxa"/>
          <w:bottom w:w="0" w:type="dxa"/>
          <w:right w:w="0" w:type="dxa"/>
        </w:tblCellMar>
      </w:tblPr>
      <w:tblGrid>
        <w:gridCol w:w="230"/>
        <w:gridCol w:w="27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7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7% annualized hurdle rate. </w:t>
            </w:r>
          </w:p>
        </w:tc>
      </w:tr>
    </w:tbl>
    <w:tbl>
      <w:tblPr>
        <w:tblW w:w="3895" w:type="dxa"/>
        <w:jc w:val="left"/>
        <w:tblInd w:w="0" w:type="dxa"/>
        <w:tblLayout w:type="fixed"/>
        <w:tblCellMar>
          <w:top w:w="0" w:type="dxa"/>
          <w:left w:w="0" w:type="dxa"/>
          <w:bottom w:w="0" w:type="dxa"/>
          <w:right w:w="0" w:type="dxa"/>
        </w:tblCellMar>
      </w:tblPr>
      <w:tblGrid>
        <w:gridCol w:w="230"/>
        <w:gridCol w:w="36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1.75% annualized base management fee.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“catch-up” provision is intended to provide the Adviser with an Incentive Fee on Income of 20% on all Pre-Incentive Fee Net Investment Income as if a hurdle rate did not apply when the Company’s Pre-Incentive Fee Net Investment Income exceeds 2.19% in any quarter</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8" w:name="ny20077966x1_n14_303-annexd_pg9"/>
        <w:bookmarkEnd w:id="4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Example 2: Incentive Fee on Capital Gains(*)</w:t>
      </w:r>
      <w:r>
        <w:rPr>
          <w:rFonts w:ascii="Times New Roman;Times;serif" w:hAnsi="Times New Roman;Times;serif"/>
          <w:b/>
          <w:color w:val="000000"/>
          <w:sz w:val="20"/>
        </w:rPr>
        <w:t xml:space="preserv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1</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1: $20 million investment made in Company A (“Investment A”) and $30 million investment made in Company B (“Investment B”)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Investment A sold for $50 million and fair market value (“FMV”) of Investment B determined to be $32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3: FMV of Investment B determined to be $25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4: Investment B sold for $31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Incentive Fee on Capital Gains would be: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1: None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Incentive Fee on Capital Gains of $6 million - ($30 million realized capital gains on sale of Investment A multiplied by 20%)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3: None - $5 million (20% multiplied by ($30 million cumulative capital gains less $5 million cumulative capital depreciation)) less $6 million (Incentive Fee on Capital Gains paid in Year 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4: Incentive Fee on Capital Gains of $200,000 - $6.2 million ($31 million cumulative realized capital gains multiplied by 20%) less $6 million (Incentive Fee on Capital Gains paid in Year 2)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Scenario 2</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1: $20 million investment made in Company A (“Investment A”), $30 million investment made in Company B (“Investment B”) and $25 million investment made in Company C (“Investment 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Investment A sold for $50 million, FMV of Investment B determined to be $25 million and FMV of Investment C determined to be $25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3: FMV of Investment B determined to be $27 million and Investment C sold for $30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4: FMV of Investment B determined to be $24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5: Investment B sold for $20 million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Incentive Fee on Capital Gains, if any, would be: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1: None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2: $5 million Incentive Fee on Capital Gains - 20% multiplied by $25 million ($30 million realized capital gains on Investment A less $5 million unrealized capital depreciation on Investment B)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 3: $1.4 million Incentive Fee on Capital Gains(1) - $6.4 million (20% multiplied by $32 million ($35 million cumulative realized capital gains less $3 million unrealized capital depreciation on Investment B)) less $5 million (Incentive Fee on Capital Gains paid in Year 2)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4: None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Year 5: None - $5 million (20% multiplied by $25 million (cumulative realized capital gains of $35 million less realized capital losses of $10 million)) less $6.4 million (cumulative Incentive Fees on Capital Gains paid in Year 2 and Year 3)(2)</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hypothetical amounts of returns shown are based on a percentage of the Company’s total net assets and assume no leverage. There is no guarantee that positive returns will be realized and actual returns may vary from those shown in this example.</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As illustrated in Year 3 of Scenario 2 above, if the Company were to be wound up on a date other than its fiscal year end of any year, the Company may have paid aggregate Incentive Fees on Capital Gains that are more than the amount of such fees that would be payable if the Company had been wound up on its fiscal year end of such year.</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noted above, it is possible that the cumulative aggregate Incentive Fees on Capital Gains received by the Adviser ($6.4 million) is effectively greater than $5 million (20% of cumulative aggregate realized capital gains less net realized capital losses or net unrealized depreciation ($25 million)).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9" w:name="ny20077966x1_n14_401-partc_pg1"/>
        <w:bookmarkEnd w:id="4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0" w:name="tPCO"/>
      <w:bookmarkEnd w:id="480"/>
      <w:r>
        <w:rPr>
          <w:rFonts w:ascii="Times New Roman;Times;serif" w:hAnsi="Times New Roman;Times;serif"/>
          <w:b/>
          <w:color w:val="000000"/>
          <w:sz w:val="20"/>
        </w:rPr>
        <w:t xml:space="preserve">PART 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OTHER INFORMATION </w:t>
      </w:r>
    </w:p>
    <w:tbl>
      <w:tblPr>
        <w:tblW w:w="2125" w:type="dxa"/>
        <w:jc w:val="left"/>
        <w:tblInd w:w="0" w:type="dxa"/>
        <w:tblLayout w:type="fixed"/>
        <w:tblCellMar>
          <w:top w:w="0" w:type="dxa"/>
          <w:left w:w="0" w:type="dxa"/>
          <w:bottom w:w="0" w:type="dxa"/>
          <w:right w:w="0" w:type="dxa"/>
        </w:tblCellMar>
      </w:tblPr>
      <w:tblGrid>
        <w:gridCol w:w="710"/>
        <w:gridCol w:w="14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14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permits a Maryland corporation to include in its charter a provision eliminating the liability of its directors and officers to the corporation and its shareholders for money damages except for liability resulting from (a) actual receipt of an improper benefit or profit in money, property or services or (b) active and deliberate dishonesty established by a final judgment and that is material to the cause of action. The LIEN Charter contains such a provision that eliminates directors’ and officers’ liability to the maximum extent permitted by Maryland law, subject to the requirements of the 1940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Maryland law requires a corporation (unless its charter provides otherwise, which the LIEN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Charter obligates LIEN, to the maximum extent permitted by Maryland law and subject to the requirements of the 1940 Act, to indemnify any present or former director or officer or any individual who, while a director or officer and at LIEN’s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The LIEN Bylaws permit LIEN to indemnify and advance expenses to employees and agents who are not officers or directors to the extent permissible under the MGCL and the 1940 Act and as may be determined by the LIEN Board. In accordance with the 1940 Act, LIEN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Investment Advisory Agreement provides that, absent willful misfeasance, bad faith or gross negligence in the performance of its duties or by reason of the reckless disregard of its duties and obligations, LIEN Adviser and its officers, managers, partners, members (and their members, including the owners of their members), agents, employees, controlling persons and any other person or entity affiliated with it are entitled to indemnification from LIEN for any damages, liabilities, costs and expenses (including reasonable attorneys’ fees and amounts reasonably paid in settlement) arising from the rendering of LIEN Adviser’s services under the LIEN Investment Advisory Agreement or otherwise as LIEN’s investment adviser.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LIEN Administration Agreement provides that, absent willful misfeasance, bad faith or gross negligence in the performance of its duties or by reason of the reckless disregard of its duties and obligations, LIEN Adviser and its officers, managers, partners, members (and their members, including the owners of their members), agents, employees, controlling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1" w:name="ny20077966x1_n14_401-partc_pg2"/>
        <w:bookmarkEnd w:id="4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persons and any other person or entity affiliated with it are entitled to indemnification from LIEN for any damages, liabilities, costs and expenses (including reasonable attorneys’ fees and amounts reasonably paid in settlement) arising from the rendering of LIEN Adviser’s services under the LIEN Administration Agreement or otherwise as LIEN’s administrator.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liability arising under the Securities Act may be permitted to directors, officers and controlling persons of LIEN pursuant to the foregoing provisions, or otherwise, LIEN has been advised that in the opinion of the SEC such indemnification is against public policy as expressed in the Securities Act and is, therefore, unenforceable. In the event that a claim for indemnification against such liabilities (other than the payment by LIEN of expenses incurred or paid by a director, officer or controlling person of LIEN in the successful defense of any action, suit or proceeding) is asserted by such director, officer or controlling person in connection with the securities being registered, LIEN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LIEN has entered into indemnification agreements with its directors. The indemnification agreements are intended to provide LIEN’s directors the maximum indemnification permitted under Maryland law and the 1940 Act. Each indemnification agreement provides that LIEN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to the maximum extent permitted by Maryland law and the 1940 Act. </w:t>
      </w:r>
    </w:p>
    <w:tbl>
      <w:tblPr>
        <w:tblW w:w="1480" w:type="dxa"/>
        <w:jc w:val="left"/>
        <w:tblInd w:w="0" w:type="dxa"/>
        <w:tblLayout w:type="fixed"/>
        <w:tblCellMar>
          <w:top w:w="0" w:type="dxa"/>
          <w:left w:w="0" w:type="dxa"/>
          <w:bottom w:w="0" w:type="dxa"/>
          <w:right w:w="0" w:type="dxa"/>
        </w:tblCellMar>
      </w:tblPr>
      <w:tblGrid>
        <w:gridCol w:w="710"/>
        <w:gridCol w:w="77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tbl>
      <w:tblPr>
        <w:tblW w:w="10205" w:type="dxa"/>
        <w:jc w:val="left"/>
        <w:tblInd w:w="0" w:type="dxa"/>
        <w:tblLayout w:type="fixed"/>
        <w:tblCellMar>
          <w:top w:w="0" w:type="dxa"/>
          <w:left w:w="0" w:type="dxa"/>
          <w:bottom w:w="0" w:type="dxa"/>
          <w:right w:w="0" w:type="dxa"/>
        </w:tblCellMar>
      </w:tblPr>
      <w:tblGrid>
        <w:gridCol w:w="431"/>
        <w:gridCol w:w="140"/>
        <w:gridCol w:w="140"/>
        <w:gridCol w:w="9494"/>
      </w:tblGrid>
      <w:tr>
        <w:trPr/>
        <w:tc>
          <w:tcPr>
            <w:tcW w:w="43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0"/>
              <w:jc w:val="left"/>
              <w:rPr/>
            </w:pPr>
            <w:r>
              <w:rPr/>
              <w:t> </w:t>
            </w:r>
          </w:p>
        </w:tc>
      </w:tr>
      <w:tr>
        <w:trPr/>
        <w:tc>
          <w:tcPr>
            <w:tcW w:w="431" w:type="dxa"/>
            <w:tcBorders/>
            <w:shd w:fill="CCEEFF" w:val="clear"/>
            <w:vAlign w:val="center"/>
          </w:tcPr>
          <w:p>
            <w:pPr>
              <w:pStyle w:val="TableContents"/>
              <w:bidi w:val="0"/>
              <w:spacing w:before="0" w:after="283"/>
              <w:ind w:left="0" w:right="0" w:hanging="0"/>
              <w:jc w:val="left"/>
              <w:rPr/>
            </w:pPr>
            <w:hyperlink r:id="rId48">
              <w:r>
                <w:rPr>
                  <w:rStyle w:val="InternetLink"/>
                  <w:rFonts w:ascii="Times New Roman;Times;serif" w:hAnsi="Times New Roman;Times;serif"/>
                  <w:color w:val="000000"/>
                  <w:sz w:val="20"/>
                </w:rPr>
                <w:t>(1)(a)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Articles of Amendment and Restatement of Chicago Atlantic BDC, Inc. (incorporated by reference to Exhibit 3.1 of Chicago Atlantic BDC, Inc.’s Annual Report on Form 10-K/A, filed on June 30, 2022). </w:t>
            </w:r>
          </w:p>
        </w:tc>
      </w:tr>
      <w:tr>
        <w:trPr/>
        <w:tc>
          <w:tcPr>
            <w:tcW w:w="431" w:type="dxa"/>
            <w:tcBorders/>
            <w:vAlign w:val="center"/>
          </w:tcPr>
          <w:p>
            <w:pPr>
              <w:pStyle w:val="TableContents"/>
              <w:bidi w:val="0"/>
              <w:spacing w:before="0" w:after="283"/>
              <w:ind w:left="0" w:right="0" w:hanging="0"/>
              <w:jc w:val="left"/>
              <w:rPr/>
            </w:pPr>
            <w:hyperlink r:id="rId49">
              <w:r>
                <w:rPr>
                  <w:rStyle w:val="InternetLink"/>
                  <w:rFonts w:ascii="Times New Roman;Times;serif" w:hAnsi="Times New Roman;Times;serif"/>
                  <w:color w:val="000000"/>
                  <w:sz w:val="20"/>
                </w:rPr>
                <w:t>(1)(b)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Articles of Amendment of Chicago Atlantic BDC, Inc. (incorporated by reference to Exhibit 3.2 of Chicago Atlantic BDC, Inc.’s Quarterly Report on Form 10-Q, filed on November 8, 2024). </w:t>
            </w:r>
          </w:p>
        </w:tc>
      </w:tr>
      <w:tr>
        <w:trPr/>
        <w:tc>
          <w:tcPr>
            <w:tcW w:w="431" w:type="dxa"/>
            <w:tcBorders/>
            <w:shd w:fill="CCEEFF" w:val="clear"/>
            <w:vAlign w:val="center"/>
          </w:tcPr>
          <w:p>
            <w:pPr>
              <w:pStyle w:val="TableContents"/>
              <w:bidi w:val="0"/>
              <w:spacing w:before="0" w:after="283"/>
              <w:ind w:left="0" w:right="0" w:hanging="0"/>
              <w:jc w:val="left"/>
              <w:rPr/>
            </w:pPr>
            <w:hyperlink r:id="rId50">
              <w:r>
                <w:rPr>
                  <w:rStyle w:val="InternetLink"/>
                  <w:rFonts w:ascii="Times New Roman;Times;serif" w:hAnsi="Times New Roman;Times;serif"/>
                  <w:color w:val="000000"/>
                  <w:sz w:val="20"/>
                </w:rPr>
                <w:t>(2)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Second Amended and Restated Bylaws of Chicago Atlantic BDC, Inc. (incorporated by reference to Exhibit 3.3 of Chicago Atlantic BDC, Inc.’s Current Report on Form 8-K, filed on December 19, 2025). </w:t>
            </w:r>
          </w:p>
        </w:tc>
      </w:tr>
      <w:tr>
        <w:trPr/>
        <w:tc>
          <w:tcPr>
            <w:tcW w:w="4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shd w:fill="CCEEFF" w:val="clear"/>
            <w:vAlign w:val="center"/>
          </w:tcPr>
          <w:p>
            <w:pPr>
              <w:pStyle w:val="TableContents"/>
              <w:bidi w:val="0"/>
              <w:spacing w:before="0" w:after="283"/>
              <w:ind w:left="0" w:right="0" w:hanging="0"/>
              <w:jc w:val="left"/>
              <w:rPr/>
            </w:pPr>
            <w:hyperlink r:id="rId51">
              <w:r>
                <w:rPr>
                  <w:rStyle w:val="InternetLink"/>
                  <w:rFonts w:ascii="Times New Roman;Times;serif" w:hAnsi="Times New Roman;Times;serif"/>
                  <w:color w:val="000080"/>
                  <w:sz w:val="20"/>
                </w:rPr>
                <w:t>(4)</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June 17, 2026, by and among Chicago Atlantic Real Estate Finance, Inc., Chicago Atlantic BDC, Inc., Chicago Atlantic BDC Advisers, LLC and Chicago Atlantic REIT Manager, LLC (incorporated by reference herein to Exhibit 2.1 of Chicago Atlantic BDC, Inc.’s Current Report on Form 8-K, filed on June 18, 2026). </w:t>
            </w:r>
          </w:p>
        </w:tc>
      </w:tr>
      <w:tr>
        <w:trPr/>
        <w:tc>
          <w:tcPr>
            <w:tcW w:w="431" w:type="dxa"/>
            <w:tcBorders/>
            <w:vAlign w:val="center"/>
          </w:tcPr>
          <w:p>
            <w:pPr>
              <w:pStyle w:val="TableContents"/>
              <w:bidi w:val="0"/>
              <w:spacing w:before="0" w:after="283"/>
              <w:ind w:left="0" w:right="0" w:hanging="0"/>
              <w:jc w:val="left"/>
              <w:rPr/>
            </w:pPr>
            <w:hyperlink r:id="rId52">
              <w:r>
                <w:rPr>
                  <w:rStyle w:val="InternetLink"/>
                  <w:rFonts w:ascii="Times New Roman;Times;serif" w:hAnsi="Times New Roman;Times;serif"/>
                  <w:color w:val="000000"/>
                  <w:sz w:val="20"/>
                </w:rPr>
                <w:t>(5)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Description of Securities of Chicago Atlantic BDC, Inc. (incorporated by reference to Exhibit 4.1 of Chicago Atlantic BDC, Inc.’s Annual Report on Form 10-K/A, filed on June 30, 2022). </w:t>
            </w:r>
          </w:p>
        </w:tc>
      </w:tr>
      <w:tr>
        <w:trPr/>
        <w:tc>
          <w:tcPr>
            <w:tcW w:w="431" w:type="dxa"/>
            <w:tcBorders/>
            <w:shd w:fill="CCEEFF" w:val="clear"/>
            <w:vAlign w:val="center"/>
          </w:tcPr>
          <w:p>
            <w:pPr>
              <w:pStyle w:val="TableContents"/>
              <w:bidi w:val="0"/>
              <w:spacing w:before="0" w:after="283"/>
              <w:ind w:left="0" w:right="0" w:hanging="0"/>
              <w:jc w:val="left"/>
              <w:rPr/>
            </w:pPr>
            <w:hyperlink r:id="rId53">
              <w:r>
                <w:rPr>
                  <w:rStyle w:val="InternetLink"/>
                  <w:rFonts w:ascii="Times New Roman;Times;serif" w:hAnsi="Times New Roman;Times;serif"/>
                  <w:color w:val="000000"/>
                  <w:sz w:val="20"/>
                </w:rPr>
                <w:t>(6)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 Advisory Agreement by and between Chicago Atlantic BDC, Inc. and Chicago Atlantic BDC Advisers, LLC (incorporated by reference to Exhibit 10.1 of the Company’s Current Report on Form 8-K filed on October 7, 2024). </w:t>
            </w:r>
          </w:p>
        </w:tc>
      </w:tr>
      <w:tr>
        <w:trPr/>
        <w:tc>
          <w:tcPr>
            <w:tcW w:w="4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vAlign w:val="center"/>
          </w:tcPr>
          <w:p>
            <w:pPr>
              <w:pStyle w:val="TableContents"/>
              <w:bidi w:val="0"/>
              <w:spacing w:before="0" w:after="283"/>
              <w:ind w:left="0" w:right="0" w:hanging="0"/>
              <w:jc w:val="left"/>
              <w:rPr/>
            </w:pPr>
            <w:hyperlink r:id="rId54">
              <w:r>
                <w:rPr>
                  <w:rStyle w:val="InternetLink"/>
                  <w:rFonts w:ascii="Times New Roman;Times;serif" w:hAnsi="Times New Roman;Times;serif"/>
                  <w:color w:val="000000"/>
                  <w:sz w:val="20"/>
                </w:rPr>
                <w:t>(9)(a)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Custody Agreement by and between Chicago Atlantic BDC, Inc. and Western Alliance Trust Company, N.A. (incorporated by reference to Exhibit 10.2 of Chicago Atlantic BDC, Inc.’s Current Report on Form 8-K filed on February 18, 2025). </w:t>
            </w:r>
          </w:p>
        </w:tc>
      </w:tr>
      <w:tr>
        <w:trPr/>
        <w:tc>
          <w:tcPr>
            <w:tcW w:w="431" w:type="dxa"/>
            <w:tcBorders/>
            <w:shd w:fill="CCEEFF" w:val="clear"/>
            <w:vAlign w:val="center"/>
          </w:tcPr>
          <w:p>
            <w:pPr>
              <w:pStyle w:val="TableContents"/>
              <w:bidi w:val="0"/>
              <w:spacing w:before="0" w:after="283"/>
              <w:ind w:left="0" w:right="0" w:hanging="0"/>
              <w:jc w:val="left"/>
              <w:rPr/>
            </w:pPr>
            <w:hyperlink r:id="rId55">
              <w:r>
                <w:rPr>
                  <w:rStyle w:val="InternetLink"/>
                  <w:rFonts w:ascii="Times New Roman;Times;serif" w:hAnsi="Times New Roman;Times;serif"/>
                  <w:color w:val="000000"/>
                  <w:sz w:val="20"/>
                </w:rPr>
                <w:t>(9)(b)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Custody Agreement by and between Chicago Atlantic BDC, Inc. and Western Alliance Bank (incorporated by reference to Exhibit 10.3 of Chicago Atlantic BDC, Inc.’s Current Report on Form 8-K filed on February 18, 2025). </w:t>
            </w:r>
          </w:p>
        </w:tc>
      </w:tr>
      <w:tr>
        <w:trPr/>
        <w:tc>
          <w:tcPr>
            <w:tcW w:w="4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and Consent of Baker, Donelson, Bearman, Caldwell &amp; Berkowitz, PC.** </w:t>
            </w:r>
          </w:p>
        </w:tc>
      </w:tr>
      <w:tr>
        <w:trPr/>
        <w:tc>
          <w:tcPr>
            <w:tcW w:w="4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Opinion and Consent of Eversheds Sutherland (US) LLP as to certain tax matters.** </w:t>
            </w:r>
          </w:p>
        </w:tc>
      </w:tr>
      <w:tr>
        <w:trPr/>
        <w:tc>
          <w:tcPr>
            <w:tcW w:w="431" w:type="dxa"/>
            <w:tcBorders/>
            <w:shd w:fill="CCEEFF" w:val="clear"/>
            <w:vAlign w:val="center"/>
          </w:tcPr>
          <w:p>
            <w:pPr>
              <w:pStyle w:val="TableContents"/>
              <w:bidi w:val="0"/>
              <w:spacing w:before="0" w:after="283"/>
              <w:ind w:left="0" w:right="0" w:hanging="0"/>
              <w:jc w:val="left"/>
              <w:rPr/>
            </w:pPr>
            <w:hyperlink r:id="rId56">
              <w:r>
                <w:rPr>
                  <w:rStyle w:val="InternetLink"/>
                  <w:rFonts w:ascii="Times New Roman;Times;serif" w:hAnsi="Times New Roman;Times;serif"/>
                  <w:color w:val="000000"/>
                  <w:sz w:val="20"/>
                </w:rPr>
                <w:t>(13)(a)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9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Administration Agreement by and between Chicago Atlantic BDC, Inc. and Chicago Atlantic BDC Advisers, LLC (incorporated by reference to Exhibit 10.4 of the Company’s Annual Report on Form 10-K/A, filed on June 30, 2022). </w:t>
            </w:r>
          </w:p>
        </w:tc>
      </w:tr>
      <w:tr>
        <w:trPr/>
        <w:tc>
          <w:tcPr>
            <w:tcW w:w="431" w:type="dxa"/>
            <w:tcBorders/>
            <w:vAlign w:val="center"/>
          </w:tcPr>
          <w:p>
            <w:pPr>
              <w:pStyle w:val="TableContents"/>
              <w:bidi w:val="0"/>
              <w:spacing w:before="0" w:after="283"/>
              <w:ind w:left="0" w:right="0" w:hanging="0"/>
              <w:jc w:val="left"/>
              <w:rPr/>
            </w:pPr>
            <w:hyperlink r:id="rId57">
              <w:r>
                <w:rPr>
                  <w:rStyle w:val="InternetLink"/>
                  <w:rFonts w:ascii="Times New Roman;Times;serif" w:hAnsi="Times New Roman;Times;serif"/>
                  <w:color w:val="000000"/>
                  <w:sz w:val="20"/>
                </w:rPr>
                <w:t>(13)(b)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License Agreement by and between Chicago Atlantic BDC, Inc. and Chicago Atlantic BDC Advisers, LLC (incorporated by reference to Exhibit 10.2 of the Company’s Current Report on Form 8-K filed on October 7, 2024). </w:t>
            </w:r>
          </w:p>
        </w:tc>
      </w:tr>
      <w:tr>
        <w:trPr/>
        <w:tc>
          <w:tcPr>
            <w:tcW w:w="4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9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2" w:name="ny20077966x1_n14_401-partc_pg3"/>
        <w:bookmarkEnd w:id="4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40"/>
        <w:gridCol w:w="140"/>
        <w:gridCol w:w="9444"/>
      </w:tblGrid>
      <w:tr>
        <w:trPr/>
        <w:tc>
          <w:tcPr>
            <w:tcW w:w="4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0"/>
              <w:jc w:val="left"/>
              <w:rPr/>
            </w:pPr>
            <w:r>
              <w:rPr/>
              <w:t> </w:t>
            </w:r>
          </w:p>
        </w:tc>
      </w:tr>
      <w:tr>
        <w:trPr/>
        <w:tc>
          <w:tcPr>
            <w:tcW w:w="481" w:type="dxa"/>
            <w:tcBorders/>
            <w:shd w:fill="CCEEFF" w:val="clear"/>
            <w:vAlign w:val="center"/>
          </w:tcPr>
          <w:p>
            <w:pPr>
              <w:pStyle w:val="TableContents"/>
              <w:bidi w:val="0"/>
              <w:spacing w:before="0" w:after="283"/>
              <w:ind w:left="0" w:right="0" w:hanging="0"/>
              <w:jc w:val="left"/>
              <w:rPr/>
            </w:pPr>
            <w:hyperlink r:id="rId58">
              <w:r>
                <w:rPr>
                  <w:rStyle w:val="InternetLink"/>
                  <w:rFonts w:ascii="Times New Roman;Times;serif" w:hAnsi="Times New Roman;Times;serif"/>
                  <w:color w:val="000000"/>
                  <w:sz w:val="20"/>
                </w:rPr>
                <w:t>(13)(c)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Services Agreement by and between Chicago Atlantic BDC, Inc., SS&amp;C Technologies, Inc. and ALPS Fund Services, Inc. (incorporated by reference to Exhibit 10.6 of the Company’s annual report on Form 10-K/A, filed on June 30, 2022). </w:t>
            </w:r>
          </w:p>
        </w:tc>
      </w:tr>
      <w:tr>
        <w:trPr/>
        <w:tc>
          <w:tcPr>
            <w:tcW w:w="481" w:type="dxa"/>
            <w:tcBorders/>
            <w:vAlign w:val="center"/>
          </w:tcPr>
          <w:p>
            <w:pPr>
              <w:pStyle w:val="TableContents"/>
              <w:bidi w:val="0"/>
              <w:spacing w:before="0" w:after="283"/>
              <w:ind w:left="0" w:right="0" w:hanging="0"/>
              <w:jc w:val="left"/>
              <w:rPr/>
            </w:pPr>
            <w:hyperlink w:anchor="ny20077966x1_ex14a.htm">
              <w:r>
                <w:rPr>
                  <w:rStyle w:val="InternetLink"/>
                  <w:rFonts w:ascii="Times New Roman;Times;serif" w:hAnsi="Times New Roman;Times;serif"/>
                  <w:color w:val="000000"/>
                  <w:sz w:val="20"/>
                </w:rPr>
                <w:t>(14)(a)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BDO USA, P.C. (Chicago Atlantic BDC, Inc.).* </w:t>
            </w:r>
          </w:p>
        </w:tc>
      </w:tr>
      <w:tr>
        <w:trPr/>
        <w:tc>
          <w:tcPr>
            <w:tcW w:w="481" w:type="dxa"/>
            <w:tcBorders/>
            <w:shd w:fill="CCEEFF" w:val="clear"/>
            <w:vAlign w:val="center"/>
          </w:tcPr>
          <w:p>
            <w:pPr>
              <w:pStyle w:val="TableContents"/>
              <w:bidi w:val="0"/>
              <w:spacing w:before="0" w:after="283"/>
              <w:ind w:left="0" w:right="0" w:hanging="0"/>
              <w:jc w:val="left"/>
              <w:rPr/>
            </w:pPr>
            <w:hyperlink w:anchor="ny20077966x1_ex14b.htm">
              <w:r>
                <w:rPr>
                  <w:rStyle w:val="InternetLink"/>
                  <w:rFonts w:ascii="Times New Roman;Times;serif" w:hAnsi="Times New Roman;Times;serif"/>
                  <w:color w:val="000000"/>
                  <w:sz w:val="20"/>
                </w:rPr>
                <w:t>(14)(b)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BDO USA, P.C. (Chicago Atlantic Real Estate Finance, Inc.).* </w:t>
            </w:r>
          </w:p>
        </w:tc>
      </w:tr>
      <w:tr>
        <w:trPr/>
        <w:tc>
          <w:tcPr>
            <w:tcW w:w="481" w:type="dxa"/>
            <w:tcBorders/>
            <w:vAlign w:val="center"/>
          </w:tcPr>
          <w:p>
            <w:pPr>
              <w:pStyle w:val="TableContents"/>
              <w:bidi w:val="0"/>
              <w:spacing w:before="0" w:after="283"/>
              <w:ind w:left="0" w:right="0" w:hanging="0"/>
              <w:jc w:val="left"/>
              <w:rPr/>
            </w:pPr>
            <w:hyperlink w:anchor="ny20077966x1_ex14c.htm">
              <w:r>
                <w:rPr>
                  <w:rStyle w:val="InternetLink"/>
                  <w:rFonts w:ascii="Times New Roman;Times;serif" w:hAnsi="Times New Roman;Times;serif"/>
                  <w:color w:val="000080"/>
                  <w:sz w:val="20"/>
                </w:rPr>
                <w:t>(14)(c)</w:t>
              </w:r>
            </w:hyperlink>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Report of BDO USA, P.C., independent registered public accounting firm, on supplemental information (Senior Securities Table of Chicago Atlantic Real Estate Finance, Inc.).*</w:t>
            </w:r>
          </w:p>
        </w:tc>
      </w:tr>
      <w:tr>
        <w:trPr/>
        <w:tc>
          <w:tcPr>
            <w:tcW w:w="4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481" w:type="dxa"/>
            <w:tcBorders/>
            <w:vAlign w:val="center"/>
          </w:tcPr>
          <w:p>
            <w:pPr>
              <w:pStyle w:val="TableContents"/>
              <w:bidi w:val="0"/>
              <w:spacing w:before="0" w:after="283"/>
              <w:ind w:left="0" w:right="0" w:hanging="0"/>
              <w:jc w:val="left"/>
              <w:rPr/>
            </w:pPr>
            <w:hyperlink w:anchor="ny20077966x1_ex16.htm">
              <w:r>
                <w:rPr>
                  <w:rStyle w:val="InternetLink"/>
                  <w:rFonts w:ascii="Times New Roman;Times;serif" w:hAnsi="Times New Roman;Times;serif"/>
                  <w:color w:val="000000"/>
                  <w:sz w:val="20"/>
                </w:rPr>
                <w:t>(16)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w:t>
            </w:r>
          </w:p>
        </w:tc>
      </w:tr>
      <w:tr>
        <w:trPr/>
        <w:tc>
          <w:tcPr>
            <w:tcW w:w="481" w:type="dxa"/>
            <w:tcBorders/>
            <w:shd w:fill="CCEEFF" w:val="clear"/>
            <w:vAlign w:val="center"/>
          </w:tcPr>
          <w:p>
            <w:pPr>
              <w:pStyle w:val="TableContents"/>
              <w:bidi w:val="0"/>
              <w:spacing w:before="0" w:after="283"/>
              <w:ind w:left="0" w:right="0" w:hanging="0"/>
              <w:jc w:val="left"/>
              <w:rPr/>
            </w:pPr>
            <w:hyperlink w:anchor="ny20077966x1_ex17a.htm">
              <w:r>
                <w:rPr>
                  <w:rStyle w:val="InternetLink"/>
                  <w:rFonts w:ascii="Times New Roman;Times;serif" w:hAnsi="Times New Roman;Times;serif"/>
                  <w:color w:val="000000"/>
                  <w:sz w:val="20"/>
                </w:rPr>
                <w:t>(17)(a)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Proxy Card of Chicago Atlantic BDC, Inc.* </w:t>
            </w:r>
          </w:p>
        </w:tc>
      </w:tr>
      <w:tr>
        <w:trPr/>
        <w:tc>
          <w:tcPr>
            <w:tcW w:w="481" w:type="dxa"/>
            <w:tcBorders/>
            <w:vAlign w:val="center"/>
          </w:tcPr>
          <w:p>
            <w:pPr>
              <w:pStyle w:val="TableContents"/>
              <w:bidi w:val="0"/>
              <w:spacing w:before="0" w:after="283"/>
              <w:ind w:left="0" w:right="0" w:hanging="0"/>
              <w:jc w:val="left"/>
              <w:rPr/>
            </w:pPr>
            <w:hyperlink w:anchor="ny20077966x1_ex17b.htm">
              <w:r>
                <w:rPr>
                  <w:rStyle w:val="InternetLink"/>
                  <w:rFonts w:ascii="Times New Roman;Times;serif" w:hAnsi="Times New Roman;Times;serif"/>
                  <w:color w:val="000000"/>
                  <w:sz w:val="20"/>
                </w:rPr>
                <w:t>(17)(b)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Proxy Card of Chicago Atlantic Real Estate Finance, Inc.* </w:t>
            </w:r>
          </w:p>
        </w:tc>
      </w:tr>
      <w:tr>
        <w:trPr/>
        <w:tc>
          <w:tcPr>
            <w:tcW w:w="481" w:type="dxa"/>
            <w:tcBorders/>
            <w:shd w:fill="CCEEFF" w:val="clear"/>
            <w:vAlign w:val="center"/>
          </w:tcPr>
          <w:p>
            <w:pPr>
              <w:pStyle w:val="TableContents"/>
              <w:bidi w:val="0"/>
              <w:spacing w:before="0" w:after="283"/>
              <w:ind w:left="0" w:right="0" w:hanging="0"/>
              <w:jc w:val="left"/>
              <w:rPr/>
            </w:pPr>
            <w:hyperlink w:anchor="ny20077966x1_ex17c.htm">
              <w:r>
                <w:rPr>
                  <w:rStyle w:val="InternetLink"/>
                  <w:rFonts w:ascii="Times New Roman;Times;serif" w:hAnsi="Times New Roman;Times;serif"/>
                  <w:color w:val="000000"/>
                  <w:sz w:val="20"/>
                </w:rPr>
                <w:t>(17)(c)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Keefe, Bruyette &amp; Woods, Inc.* </w:t>
            </w:r>
          </w:p>
        </w:tc>
      </w:tr>
      <w:tr>
        <w:trPr/>
        <w:tc>
          <w:tcPr>
            <w:tcW w:w="481" w:type="dxa"/>
            <w:tcBorders/>
            <w:vAlign w:val="center"/>
          </w:tcPr>
          <w:p>
            <w:pPr>
              <w:pStyle w:val="TableContents"/>
              <w:bidi w:val="0"/>
              <w:spacing w:before="0" w:after="283"/>
              <w:ind w:left="0" w:right="0" w:hanging="0"/>
              <w:jc w:val="left"/>
              <w:rPr/>
            </w:pPr>
            <w:hyperlink w:anchor="ny20077966x1_ex17d.htm">
              <w:r>
                <w:rPr>
                  <w:rStyle w:val="InternetLink"/>
                  <w:rFonts w:ascii="Times New Roman;Times;serif" w:hAnsi="Times New Roman;Times;serif"/>
                  <w:color w:val="000000"/>
                  <w:sz w:val="20"/>
                </w:rPr>
                <w:t>(17)(d)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Oppenheimer &amp; Co. Inc.* </w:t>
            </w:r>
          </w:p>
        </w:tc>
      </w:tr>
      <w:tr>
        <w:trPr/>
        <w:tc>
          <w:tcPr>
            <w:tcW w:w="481" w:type="dxa"/>
            <w:tcBorders/>
            <w:shd w:fill="CCEEFF" w:val="clear"/>
            <w:vAlign w:val="center"/>
          </w:tcPr>
          <w:p>
            <w:pPr>
              <w:pStyle w:val="TableContents"/>
              <w:bidi w:val="0"/>
              <w:spacing w:before="0" w:after="283"/>
              <w:ind w:left="0" w:right="0" w:hanging="0"/>
              <w:jc w:val="left"/>
              <w:rPr/>
            </w:pPr>
            <w:hyperlink w:anchor="ny20077966x1_ex18.htm">
              <w:r>
                <w:rPr>
                  <w:rStyle w:val="InternetLink"/>
                  <w:rFonts w:ascii="Times New Roman;Times;serif" w:hAnsi="Times New Roman;Times;serif"/>
                  <w:color w:val="000000"/>
                  <w:sz w:val="20"/>
                </w:rPr>
                <w:t>(18)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Fees Table.*</w:t>
            </w:r>
          </w:p>
        </w:tc>
      </w:tr>
      <w:tr>
        <w:trPr/>
        <w:tc>
          <w:tcPr>
            <w:tcW w:w="4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44" w:type="dxa"/>
            <w:tcBorders/>
            <w:shd w:fill="CCEEFF" w:val="clear"/>
            <w:vAlign w:val="center"/>
          </w:tcPr>
          <w:p>
            <w:pPr>
              <w:pStyle w:val="TableContents"/>
              <w:bidi w:val="0"/>
              <w:spacing w:before="0" w:after="0"/>
              <w:jc w:val="left"/>
              <w:rPr/>
            </w:pPr>
            <w:r>
              <w:rPr/>
              <w:t> </w:t>
            </w:r>
          </w:p>
        </w:tc>
      </w:tr>
    </w:tbl>
    <w:tbl>
      <w:tblPr>
        <w:tblW w:w="1210" w:type="dxa"/>
        <w:jc w:val="left"/>
        <w:tblInd w:w="0" w:type="dxa"/>
        <w:tblLayout w:type="fixed"/>
        <w:tblCellMar>
          <w:top w:w="0" w:type="dxa"/>
          <w:left w:w="0" w:type="dxa"/>
          <w:bottom w:w="0" w:type="dxa"/>
          <w:right w:w="0" w:type="dxa"/>
        </w:tblCellMar>
      </w:tblPr>
      <w:tblGrid>
        <w:gridCol w:w="110"/>
        <w:gridCol w:w="110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9175" w:type="dxa"/>
        <w:jc w:val="left"/>
        <w:tblInd w:w="0" w:type="dxa"/>
        <w:tblLayout w:type="fixed"/>
        <w:tblCellMar>
          <w:top w:w="0" w:type="dxa"/>
          <w:left w:w="0" w:type="dxa"/>
          <w:bottom w:w="0" w:type="dxa"/>
          <w:right w:w="0" w:type="dxa"/>
        </w:tblCellMar>
      </w:tblPr>
      <w:tblGrid>
        <w:gridCol w:w="200"/>
        <w:gridCol w:w="897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8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either by amendment or as an exhibit to a report filed under the Exchange Act and incorporated herein by reference.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agrees that prior to any public reoffering of the securities registered through the use of a prospectus which is a part of this registration statement by any person or party who is deemed to be an underwriter within the meaning of Rule 145(c) of the Securities Act, the reoffering prospectus will contain the information called for by the applicable registration form for the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agrees that every prospectus that is filed under paragraph (1) above will be filed as a part of an amendment to the registration statement and will not be used until the amendment is effective, and that, in determining any liability under the Securities Act, each post-effective amendment shall be deemed to be a new registration statement for the securities offered therein, and the offering of the securities at that time shall be deemed to be the initial bona fide offering of them.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3" w:name="ny20077966x1_n14_402-sig_pg1"/>
        <w:bookmarkEnd w:id="4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required by the Securities Act of 1933, the Registrant has duly caused this Registration Statement to be signed on its behalf by the undersigned, thereunto duly authorized, in the City of New York and the State of New York, on the 30th day of July, 2026. </w:t>
      </w:r>
    </w:p>
    <w:tbl>
      <w:tblPr>
        <w:tblW w:w="348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4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CHICAGO ATLANTIC BDC,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Peter Sack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Peter Sack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indicated on July 30, 2026. </w:t>
      </w:r>
    </w:p>
    <w:tbl>
      <w:tblPr>
        <w:tblW w:w="7070" w:type="dxa"/>
        <w:jc w:val="left"/>
        <w:tblInd w:w="0" w:type="dxa"/>
        <w:tblLayout w:type="fixed"/>
        <w:tblCellMar>
          <w:top w:w="0" w:type="dxa"/>
          <w:left w:w="0" w:type="dxa"/>
          <w:bottom w:w="0" w:type="dxa"/>
          <w:right w:w="0" w:type="dxa"/>
        </w:tblCellMar>
      </w:tblPr>
      <w:tblGrid>
        <w:gridCol w:w="2255"/>
        <w:gridCol w:w="140"/>
        <w:gridCol w:w="140"/>
        <w:gridCol w:w="4535"/>
      </w:tblGrid>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r>
      <w:tr>
        <w:trPr/>
        <w:tc>
          <w:tcPr>
            <w:tcW w:w="22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Peter Sack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(Principal Executive Officer)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Peter Sack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Thomas Geoffroy</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(Principal Financial Officer)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Thomas Geoffroy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Scott Gordon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 Executive Chairman of the Board of Directors,</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and Co-Chief Investment Officer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Scott Gordon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Michael Chorske*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Michael Chorske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Americo Da Corte*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Americo Da Corte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Supurna VedBrat*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Supurna VedBrat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color w:val="000000"/>
              </w:rPr>
            </w:pPr>
            <w:r>
              <w:rPr>
                <w:color w:val="000000"/>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Tracey Brophy Warson*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53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2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Tracey Brophy Warson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535" w:type="dxa"/>
            <w:vMerge w:val="continue"/>
            <w:tcBorders/>
            <w:vAlign w:val="center"/>
          </w:tcPr>
          <w:p>
            <w:pPr>
              <w:pStyle w:val="Normal"/>
              <w:bidi w:val="0"/>
              <w:jc w:val="left"/>
              <w:rPr/>
            </w:pPr>
            <w:r>
              <w:rPr/>
            </w:r>
          </w:p>
        </w:tc>
      </w:tr>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r>
    </w:tbl>
    <w:tbl>
      <w:tblPr>
        <w:tblW w:w="2780" w:type="dxa"/>
        <w:jc w:val="left"/>
        <w:tblInd w:w="0" w:type="dxa"/>
        <w:tblLayout w:type="fixed"/>
        <w:tblCellMar>
          <w:top w:w="0" w:type="dxa"/>
          <w:left w:w="0" w:type="dxa"/>
          <w:bottom w:w="0" w:type="dxa"/>
          <w:right w:w="0" w:type="dxa"/>
        </w:tblCellMar>
      </w:tblPr>
      <w:tblGrid>
        <w:gridCol w:w="440"/>
        <w:gridCol w:w="140"/>
        <w:gridCol w:w="140"/>
        <w:gridCol w:w="1625"/>
        <w:gridCol w:w="140"/>
        <w:gridCol w:w="140"/>
        <w:gridCol w:w="155"/>
      </w:tblGrid>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Peter Sack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Peter Sack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Attorney-in-Fact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Signed by Peter Sack pursuant to a power of attorney signed by each individual and filed herewith.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 C-4</w:t>
      </w:r>
    </w:p>
    <w:p>
      <w:pPr>
        <w:pStyle w:val="HorizontalLine"/>
        <w:pBdr>
          <w:bottom w:val="single" w:sz="12" w:space="0" w:color="808080"/>
        </w:pBdr>
        <w:bidi w:val="0"/>
        <w:jc w:val="right"/>
        <w:rPr/>
      </w:pPr>
      <w:r>
        <w:rPr/>
      </w:r>
      <w:bookmarkStart w:id="484" w:name="ny20077966x1_ex14a.htm"/>
      <w:bookmarkStart w:id="485" w:name="ksny20077966x1_ex14a"/>
      <w:bookmarkStart w:id="486" w:name="ny20077966x1_ex14a.htm"/>
      <w:bookmarkStart w:id="487" w:name="ksny20077966x1_ex14a"/>
      <w:bookmarkEnd w:id="486"/>
      <w:bookmarkEnd w:id="487"/>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14(a)</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this joint proxy statement/prospectus of our report dated March 19, 2026, relating to the financial statements of Chicago Atlantic BDC, Inc. (the Company) appearing in the Company’s Annual Report on Form 10-K for the year ended December 31,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consent to the reference to us under the caption “Experts” in the joint proxy statement/prospectus.</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8" w:name="zcb9f2bab70bf4a3bbb1fe1787e52df86"/>
      <w:bookmarkStart w:id="489" w:name="zcb9f2bab70bf4a3bbb1fe1787e52df86"/>
      <w:bookmarkEnd w:id="489"/>
    </w:p>
    <w:tbl>
      <w:tblPr>
        <w:tblW w:w="2270" w:type="dxa"/>
        <w:jc w:val="left"/>
        <w:tblInd w:w="0" w:type="dxa"/>
        <w:tblLayout w:type="fixed"/>
        <w:tblCellMar>
          <w:top w:w="0" w:type="dxa"/>
          <w:left w:w="0" w:type="dxa"/>
          <w:bottom w:w="0" w:type="dxa"/>
          <w:right w:w="0" w:type="dxa"/>
        </w:tblCellMar>
      </w:tblPr>
      <w:tblGrid>
        <w:gridCol w:w="2195"/>
        <w:gridCol w:w="75"/>
      </w:tblGrid>
      <w:tr>
        <w:trPr/>
        <w:tc>
          <w:tcPr>
            <w:tcW w:w="2195" w:type="dxa"/>
            <w:tcBorders/>
            <w:vAlign w:val="center"/>
          </w:tcPr>
          <w:p>
            <w:pPr>
              <w:pStyle w:val="TableContents"/>
              <w:bidi w:val="0"/>
              <w:spacing w:before="0" w:after="0"/>
              <w:jc w:val="both"/>
              <w:rPr>
                <w:color w:val="000000"/>
              </w:rPr>
            </w:pPr>
            <w:r>
              <w:rPr>
                <w:color w:val="000000"/>
              </w:rPr>
              <w:t>/s/ BDO USA, P.C.</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both"/>
              <w:rPr>
                <w:color w:val="000000"/>
              </w:rPr>
            </w:pPr>
            <w:r>
              <w:rPr>
                <w:color w:val="000000"/>
              </w:rPr>
              <w:t>New York, New York</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July 30,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90" w:name="ny20077966x1_ex14b.htm"/>
      <w:bookmarkStart w:id="491" w:name="ksny20077966x1_ex14b"/>
      <w:bookmarkStart w:id="492" w:name="ny20077966x1_ex14b.htm"/>
      <w:bookmarkStart w:id="493" w:name="ksny20077966x1_ex14b"/>
      <w:bookmarkEnd w:id="492"/>
      <w:bookmarkEnd w:id="49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14(b)</w:t>
      </w:r>
    </w:p>
    <w:p>
      <w:pPr>
        <w:pStyle w:val="TextBody"/>
        <w:bidi w:val="0"/>
        <w:spacing w:before="0" w:after="0"/>
        <w:jc w:val="left"/>
        <w:rPr/>
      </w:pPr>
      <w:r>
        <w:rPr/>
      </w:r>
      <w:bookmarkStart w:id="494" w:name="z20bbe26cd1f14fa7b8056c85a338080a"/>
      <w:bookmarkStart w:id="495" w:name="z20bbe26cd1f14fa7b8056c85a338080a"/>
      <w:bookmarkEnd w:id="495"/>
    </w:p>
    <w:tbl>
      <w:tblPr>
        <w:tblW w:w="5485" w:type="dxa"/>
        <w:jc w:val="left"/>
        <w:tblInd w:w="0" w:type="dxa"/>
        <w:tblLayout w:type="fixed"/>
        <w:tblCellMar>
          <w:top w:w="0" w:type="dxa"/>
          <w:left w:w="0" w:type="dxa"/>
          <w:bottom w:w="0" w:type="dxa"/>
          <w:right w:w="0" w:type="dxa"/>
        </w:tblCellMar>
      </w:tblPr>
      <w:tblGrid>
        <w:gridCol w:w="1545"/>
        <w:gridCol w:w="1400"/>
        <w:gridCol w:w="2540"/>
      </w:tblGrid>
      <w:tr>
        <w:trPr/>
        <w:tc>
          <w:tcPr>
            <w:tcW w:w="1545" w:type="dxa"/>
            <w:tcBorders/>
            <w:vAlign w:val="center"/>
          </w:tcPr>
          <w:p>
            <w:pPr>
              <w:pStyle w:val="TableContents"/>
              <w:bidi w:val="0"/>
              <w:spacing w:before="0" w:after="0"/>
              <w:jc w:val="left"/>
              <w:rPr/>
            </w:pPr>
            <w:r>
              <w:rPr/>
              <w:drawing>
                <wp:inline distT="0" distB="0" distL="0" distR="0">
                  <wp:extent cx="971550"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9"/>
                          <a:stretch>
                            <a:fillRect/>
                          </a:stretch>
                        </pic:blipFill>
                        <pic:spPr bwMode="auto">
                          <a:xfrm>
                            <a:off x="0" y="0"/>
                            <a:ext cx="971550" cy="371475"/>
                          </a:xfrm>
                          <a:prstGeom prst="rect">
                            <a:avLst/>
                          </a:prstGeom>
                        </pic:spPr>
                      </pic:pic>
                    </a:graphicData>
                  </a:graphic>
                </wp:inline>
              </w:drawing>
            </w:r>
          </w:p>
        </w:tc>
        <w:tc>
          <w:tcPr>
            <w:tcW w:w="1400" w:type="dxa"/>
            <w:tcBorders/>
            <w:vAlign w:val="center"/>
          </w:tcPr>
          <w:p>
            <w:pPr>
              <w:pStyle w:val="TableContents"/>
              <w:bidi w:val="0"/>
              <w:spacing w:before="0" w:after="0"/>
              <w:jc w:val="left"/>
              <w:rPr>
                <w:sz w:val="16"/>
              </w:rPr>
            </w:pPr>
            <w:r>
              <w:rPr>
                <w:sz w:val="16"/>
              </w:rPr>
              <w:t>Tel: 312-856-9100</w:t>
            </w:r>
          </w:p>
          <w:p>
            <w:pPr>
              <w:pStyle w:val="TableContents"/>
              <w:bidi w:val="0"/>
              <w:spacing w:before="0" w:after="0"/>
              <w:jc w:val="left"/>
              <w:rPr/>
            </w:pPr>
            <w:r>
              <w:rPr>
                <w:sz w:val="16"/>
              </w:rPr>
              <w:t>Fax:</w:t>
            </w:r>
            <w:r>
              <w:rPr/>
              <w:t xml:space="preserve"> </w:t>
            </w:r>
            <w:r>
              <w:rPr>
                <w:sz w:val="16"/>
              </w:rPr>
              <w:t>312-856-1379</w:t>
            </w:r>
          </w:p>
          <w:p>
            <w:pPr>
              <w:pStyle w:val="TableContents"/>
              <w:bidi w:val="0"/>
              <w:spacing w:before="0" w:after="0"/>
              <w:jc w:val="left"/>
              <w:rPr>
                <w:b/>
                <w:sz w:val="16"/>
              </w:rPr>
            </w:pPr>
            <w:r>
              <w:rPr>
                <w:b/>
                <w:sz w:val="16"/>
              </w:rPr>
              <w:t>www.bdo.com</w:t>
            </w:r>
          </w:p>
        </w:tc>
        <w:tc>
          <w:tcPr>
            <w:tcW w:w="2540" w:type="dxa"/>
            <w:tcBorders/>
            <w:vAlign w:val="center"/>
          </w:tcPr>
          <w:p>
            <w:pPr>
              <w:pStyle w:val="TableContents"/>
              <w:bidi w:val="0"/>
              <w:spacing w:before="0" w:after="0"/>
              <w:jc w:val="left"/>
              <w:rPr>
                <w:sz w:val="16"/>
              </w:rPr>
            </w:pPr>
            <w:r>
              <w:rPr>
                <w:sz w:val="16"/>
              </w:rPr>
              <w:t>225 W. Randolph Street, Suite 2200</w:t>
            </w:r>
          </w:p>
          <w:p>
            <w:pPr>
              <w:pStyle w:val="TableContents"/>
              <w:bidi w:val="0"/>
              <w:spacing w:before="0" w:after="0"/>
              <w:jc w:val="left"/>
              <w:rPr>
                <w:sz w:val="16"/>
              </w:rPr>
            </w:pPr>
            <w:r>
              <w:rPr>
                <w:sz w:val="16"/>
              </w:rPr>
              <w:t>Chicago, IL 60606</w:t>
            </w:r>
          </w:p>
        </w:tc>
      </w:tr>
    </w:tbl>
    <w:p>
      <w:pPr>
        <w:pStyle w:val="TextBody"/>
        <w:bidi w:val="0"/>
        <w:spacing w:before="0" w:after="0"/>
        <w:jc w:val="left"/>
        <w:rPr/>
      </w:pPr>
      <w:r>
        <w:rPr/>
      </w:r>
    </w:p>
    <w:p>
      <w:pPr>
        <w:pStyle w:val="TextBody"/>
        <w:bidi w:val="0"/>
        <w:spacing w:before="0" w:after="0"/>
        <w:jc w:val="center"/>
        <w:rPr>
          <w:u w:val="single"/>
        </w:rPr>
      </w:pPr>
      <w:r>
        <w:rPr>
          <w:u w:val="single"/>
        </w:rPr>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the joint proxy statement/prospectus of our report dated March 12, 2026, relating to the consolidated financial statements of Chicago Atlantic Real Estate Finance, Inc. (the Company) appearing in the Company’s Annual Report on Form 10-K for the year ended December 31, 2025. Additionally, we hereby consent to the use in the joint proxy statement/prospectus of our report dated July 30, 2026, related to the Supplemental Information contained in the senior securities table under the caption “Senior Securities of REFI”, which is included as an exhibit to the joint proxy statement/prospectus.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consent to the reference to us under the caption “Experts” in the joint proxy statement/prospectus.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 BDO USA, P.C.</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BDO USA, P.C.</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Chicago, Illinois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July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12"/>
        </w:rPr>
      </w:pPr>
      <w:r>
        <w:rPr>
          <w:rFonts w:ascii="Times New Roman;Times;serif" w:hAnsi="Times New Roman;Times;serif"/>
          <w:color w:val="000000"/>
          <w:sz w:val="12"/>
        </w:rPr>
        <w:t>BDO USA, P.C., a Virginia professional corporation, is the U.S. member of BDO International Limited, a UK company limited by guarantee, and forms part of the international BDO network of independent member firms.</w:t>
      </w:r>
    </w:p>
    <w:p>
      <w:pPr>
        <w:pStyle w:val="TextBody"/>
        <w:bidi w:val="0"/>
        <w:spacing w:before="0" w:after="0"/>
        <w:jc w:val="left"/>
        <w:rPr>
          <w:sz w:val="12"/>
        </w:rPr>
      </w:pPr>
      <w:r>
        <w:rPr>
          <w:sz w:val="12"/>
        </w:rPr>
      </w:r>
    </w:p>
    <w:p>
      <w:pPr>
        <w:pStyle w:val="TextBody"/>
        <w:bidi w:val="0"/>
        <w:spacing w:before="0" w:after="0"/>
        <w:jc w:val="both"/>
        <w:rPr>
          <w:rFonts w:ascii="Times New Roman;Times;serif" w:hAnsi="Times New Roman;Times;serif"/>
          <w:color w:val="000000"/>
          <w:sz w:val="12"/>
        </w:rPr>
      </w:pPr>
      <w:r>
        <w:rPr>
          <w:rFonts w:ascii="Times New Roman;Times;serif" w:hAnsi="Times New Roman;Times;serif"/>
          <w:color w:val="000000"/>
          <w:sz w:val="12"/>
        </w:rPr>
        <w:t>BDO is the brand name for the BDO network and for each of the BDO Member Firms.</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96" w:name="ny20077966x1_ex14c.htm"/>
      <w:bookmarkStart w:id="497" w:name="ksny20077966x1_ex14c"/>
      <w:bookmarkStart w:id="498" w:name="ny20077966x1_ex14c.htm"/>
      <w:bookmarkStart w:id="499" w:name="ksny20077966x1_ex14c"/>
      <w:bookmarkEnd w:id="498"/>
      <w:bookmarkEnd w:id="49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14(c)</w:t>
      </w:r>
    </w:p>
    <w:p>
      <w:pPr>
        <w:pStyle w:val="TextBody"/>
        <w:bidi w:val="0"/>
        <w:spacing w:before="0" w:after="0"/>
        <w:jc w:val="right"/>
        <w:rPr>
          <w:b/>
        </w:rPr>
      </w:pPr>
      <w:r>
        <w:rPr>
          <w:b/>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Report of Independent Registered Public Accounting Firm on Supplemental Information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Shareholders and Board of Directors</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Chicago Atlantic Real Estate Finance, Inc.</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Chicago, Illinois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have audited, in accordance with the standards of the Public Company Accounting Oversight Board (United States) (PCAOB), the consolidated financial statements of Chicago Atlantic Real Estate Finance, Inc. (the Company) as of December 31, 2025 and 2024, and for each of the years then ended, and our report dated March 12, 2026 expressed an unqualified opinion on those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senior securities table included in the joint proxy statement/prospectus, under the caption “Senior Securities of REFI” (the Senior Securities Table) for each of the five years in the period ended December 31, 2025, constituting part of this Registration Statement has been subjected to audit procedures performed in conjunction with the audits of the Company’s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our opinion, the Senior Securities Table, when read in connection with the basic consolidated financial statements taken as a whole, present fairly, in all material respects, the information set forth therein.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 BDO USA, P.C.</w:t>
      </w:r>
    </w:p>
    <w:p>
      <w:pPr>
        <w:pStyle w:val="TextBody"/>
        <w:bidi w:val="0"/>
        <w:spacing w:before="0" w:after="0"/>
        <w:jc w:val="left"/>
        <w:rPr/>
      </w:pPr>
      <w:r>
        <w:rPr/>
      </w:r>
    </w:p>
    <w:p>
      <w:pPr>
        <w:pStyle w:val="TextBody"/>
        <w:bidi w:val="0"/>
        <w:spacing w:before="0" w:after="0"/>
        <w:ind w:left="900" w:right="0" w:hanging="900"/>
        <w:jc w:val="both"/>
        <w:rPr>
          <w:rFonts w:ascii="Times New Roman;Times;serif" w:hAnsi="Times New Roman;Times;serif"/>
          <w:color w:val="000000"/>
          <w:sz w:val="20"/>
        </w:rPr>
      </w:pPr>
      <w:r>
        <w:rPr>
          <w:rFonts w:ascii="Times New Roman;Times;serif" w:hAnsi="Times New Roman;Times;serif"/>
          <w:color w:val="000000"/>
          <w:sz w:val="20"/>
        </w:rPr>
        <w:t>Chicago, Illinois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July 30,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500" w:name="ny20077966x1_ex16.htm"/>
      <w:bookmarkStart w:id="501" w:name="ksny20077966x1_ex16"/>
      <w:bookmarkStart w:id="502" w:name="ny20077966x1_ex16.htm"/>
      <w:bookmarkStart w:id="503" w:name="ksny20077966x1_ex16"/>
      <w:bookmarkEnd w:id="502"/>
      <w:bookmarkEnd w:id="50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16</w:t>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undersigned director of Chicago Atlantic BDC, Inc. (the “Company”) does hereby constitute and appoint Peter Sack, Scott Gordon, Thomas Geoffroy and Umesh Mahajan, each individually, his or her true and lawful attorney-in-fact and agent (each, an “Attorney-in-Fact”) with power of substitution or re-substitution, in any and all capacities, including without limitation in the applicable undersigned’s capacity as director of the Company as noted below, in the furtherance of the business and affairs of the Company: (i) to execute any and all instruments which said Attorney-in-Fact may deem necessary or advisable or which may be required to comply with the Securities Act of 1933, as amended, the Investment Company Act of 1940, as amended, and the Securities Exchange Act of 1934, as amended (collectively, the “Acts”), and any other applicable federal securities laws, or rules, regulations or requirements of the U.S. Securities and Exchange Commission (the “SEC”) in respect thereof, in connection with the filing and effectiveness of the Company’s registration statement on Form N-14 regarding the registration of the Company and its shares of common stock, and any and all amendments thereto, including without limitation any reports, forms or other filings required by the Acts or any other applicable federal securities laws, or rules, regulations or requirements of the SEC, and to do generally all such things in the undersigned’s name and on the undersigned’s behalf in the capacity indicated below to enable the Company to comply with the Acts, and all requirements of the SEC thereunder; and (ii) to execute any and all state regulatory or other required filings, including all applications with regulatory authorities, state charter or organizational documents and any amendments or supplements thereto, to be executed by, on behalf of, or for the benefit of, the Company. The undersigned hereby grants to each Attorney-in-Fact full power and authority to do and perform each and every act and thing contemplated above, as fully and to all intents and purposes as the undersigned might or could do in person, and hereby ratifies and confirms all that said Attorneys-in-Fact, individually or collectively, may lawfully do or cause to be done by virtue hereof.</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Power of Attorney shall be revocable with respect to an undersigned at any time by a writing signed by such undersigned and shall terminate automatically with respect to an undersigned if such undersigned ceases to be a director or officer of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4" w:name="zc995505bf9744af08e3e89ec3ea73003"/>
      <w:bookmarkStart w:id="505" w:name="zc995505bf9744af08e3e89ec3ea73003"/>
      <w:bookmarkEnd w:id="505"/>
    </w:p>
    <w:tbl>
      <w:tblPr>
        <w:tblW w:w="4785" w:type="dxa"/>
        <w:jc w:val="left"/>
        <w:tblInd w:w="0" w:type="dxa"/>
        <w:tblLayout w:type="fixed"/>
        <w:tblCellMar>
          <w:top w:w="0" w:type="dxa"/>
          <w:left w:w="0" w:type="dxa"/>
          <w:bottom w:w="28" w:type="dxa"/>
          <w:right w:w="0" w:type="dxa"/>
        </w:tblCellMar>
      </w:tblPr>
      <w:tblGrid>
        <w:gridCol w:w="2540"/>
        <w:gridCol w:w="60"/>
        <w:gridCol w:w="800"/>
        <w:gridCol w:w="60"/>
        <w:gridCol w:w="1325"/>
      </w:tblGrid>
      <w:tr>
        <w:trPr/>
        <w:tc>
          <w:tcPr>
            <w:tcW w:w="2540" w:type="dxa"/>
            <w:tcBorders>
              <w:bottom w:val="single" w:sz="12" w:space="0" w:color="000000"/>
            </w:tcBorders>
            <w:vAlign w:val="center"/>
          </w:tcPr>
          <w:p>
            <w:pPr>
              <w:pStyle w:val="TableContents"/>
              <w:bidi w:val="0"/>
              <w:spacing w:before="0" w:after="0"/>
              <w:jc w:val="center"/>
              <w:rPr/>
            </w:pPr>
            <w:r>
              <w:rPr/>
              <w:t>Signature</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0"/>
              <w:jc w:val="center"/>
              <w:rPr/>
            </w:pPr>
            <w:r>
              <w:rPr/>
              <w:t>Title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0"/>
              <w:jc w:val="center"/>
              <w:rPr/>
            </w:pPr>
            <w:r>
              <w:rPr/>
              <w:t>Date</w:t>
            </w:r>
          </w:p>
        </w:tc>
      </w:tr>
      <w:tr>
        <w:trPr/>
        <w:tc>
          <w:tcPr>
            <w:tcW w:w="2540" w:type="dxa"/>
            <w:tcBorders>
              <w:top w:val="single" w:sz="12" w:space="0" w:color="000000"/>
              <w:bottom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t>/s/ Michael W. Chorske</w:t>
            </w:r>
          </w:p>
        </w:tc>
        <w:tc>
          <w:tcPr>
            <w:tcW w:w="60" w:type="dxa"/>
            <w:tcBorders/>
            <w:tcMar>
              <w:bottom w:w="0" w:type="dxa"/>
            </w:tcMar>
            <w:vAlign w:val="center"/>
          </w:tcPr>
          <w:p>
            <w:pPr>
              <w:pStyle w:val="TableContents"/>
              <w:bidi w:val="0"/>
              <w:spacing w:before="0" w:after="283"/>
              <w:jc w:val="left"/>
              <w:rPr/>
            </w:pPr>
            <w:r>
              <w:rPr/>
              <w:t> </w:t>
            </w:r>
          </w:p>
        </w:tc>
        <w:tc>
          <w:tcPr>
            <w:tcW w:w="800" w:type="dxa"/>
            <w:tcBorders>
              <w:top w:val="single" w:sz="12" w:space="0" w:color="000000"/>
            </w:tcBorders>
            <w:tcMar>
              <w:top w:w="28" w:type="dxa"/>
              <w:bottom w:w="0" w:type="dxa"/>
            </w:tcMar>
            <w:vAlign w:val="center"/>
          </w:tcPr>
          <w:p>
            <w:pPr>
              <w:pStyle w:val="TableContents"/>
              <w:bidi w:val="0"/>
              <w:spacing w:before="0" w:after="0"/>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0"/>
              <w:jc w:val="left"/>
              <w:rPr/>
            </w:pPr>
            <w:r>
              <w:rPr/>
              <w:t> </w:t>
            </w:r>
          </w:p>
          <w:p>
            <w:pPr>
              <w:pStyle w:val="TableContents"/>
              <w:bidi w:val="0"/>
              <w:spacing w:before="0" w:after="0"/>
              <w:jc w:val="center"/>
              <w:rPr/>
            </w:pPr>
            <w:r>
              <w:rPr/>
              <w:t>July 24, 2026</w:t>
            </w:r>
          </w:p>
        </w:tc>
      </w:tr>
      <w:tr>
        <w:trPr/>
        <w:tc>
          <w:tcPr>
            <w:tcW w:w="2540" w:type="dxa"/>
            <w:tcBorders>
              <w:top w:val="single" w:sz="12" w:space="0" w:color="000000"/>
              <w:bottom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t>/s/ Americo Da Corte</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0"/>
              <w:jc w:val="center"/>
              <w:rPr/>
            </w:pPr>
            <w:r>
              <w:rPr/>
              <w:t>July 24, 2026</w:t>
            </w:r>
          </w:p>
        </w:tc>
      </w:tr>
      <w:tr>
        <w:trPr/>
        <w:tc>
          <w:tcPr>
            <w:tcW w:w="2540" w:type="dxa"/>
            <w:tcBorders>
              <w:top w:val="single" w:sz="12" w:space="0" w:color="000000"/>
              <w:bottom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t>/s/ Supurna VedBrat</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0"/>
              <w:jc w:val="center"/>
              <w:rPr/>
            </w:pPr>
            <w:r>
              <w:rPr/>
              <w:t>July 24, 2026</w:t>
            </w:r>
          </w:p>
        </w:tc>
      </w:tr>
      <w:tr>
        <w:trPr/>
        <w:tc>
          <w:tcPr>
            <w:tcW w:w="2540" w:type="dxa"/>
            <w:tcBorders>
              <w:top w:val="single" w:sz="12" w:space="0" w:color="000000"/>
              <w:bottom w:val="single" w:sz="12"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t>/s/ Tracey Brophy Warson</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0"/>
              <w:jc w:val="center"/>
              <w:rPr/>
            </w:pPr>
            <w:r>
              <w:rPr/>
              <w:t>July 24, 2026</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83"/>
        <w:ind w:left="0" w:right="0" w:hanging="0"/>
        <w:jc w:val="right"/>
        <w:rPr>
          <w:rFonts w:ascii="Times New Roman;Times;serif" w:hAnsi="Times New Roman;Times;serif"/>
          <w:b/>
          <w:color w:val="000000"/>
          <w:sz w:val="20"/>
        </w:rPr>
      </w:pPr>
      <w:bookmarkStart w:id="506" w:name="ny20077966x1_n14_500a-proxycard_pg1"/>
      <w:bookmarkStart w:id="507" w:name="ny20077966x1_ex17a.htm"/>
      <w:bookmarkStart w:id="508" w:name="ksny20077966x1_ex17a"/>
      <w:bookmarkEnd w:id="506"/>
      <w:bookmarkEnd w:id="507"/>
      <w:bookmarkEnd w:id="508"/>
      <w:r>
        <w:rPr>
          <w:rFonts w:ascii="Times New Roman;Times;serif" w:hAnsi="Times New Roman;Times;serif"/>
          <w:b/>
          <w:color w:val="000000"/>
          <w:sz w:val="20"/>
        </w:rPr>
        <w:t>Exhibit 17(a)</w:t>
      </w:r>
      <w:r>
        <w:br w:type="page"/>
      </w:r>
    </w:p>
    <w:p>
      <w:pPr>
        <w:pStyle w:val="TextBody"/>
        <w:bidi w:val="0"/>
        <w:spacing w:before="305" w:after="283"/>
        <w:jc w:val="center"/>
        <w:rPr>
          <w:color w:val="000000"/>
        </w:rPr>
      </w:pPr>
      <w:r>
        <w:rPr>
          <w:color w:val="000000"/>
        </w:rPr>
        <w:drawing>
          <wp:inline distT="0" distB="0" distL="0" distR="0">
            <wp:extent cx="7381875" cy="9553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0"/>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color w:val="000000"/>
        </w:rPr>
      </w:pPr>
      <w:bookmarkStart w:id="509" w:name="ny20077966x1_n14_500a-proxycard_pg2"/>
      <w:bookmarkEnd w:id="509"/>
      <w:r>
        <w:rPr>
          <w:color w:val="000000"/>
        </w:rPr>
        <w:drawing>
          <wp:inline distT="0" distB="0" distL="0" distR="0">
            <wp:extent cx="7381875" cy="9553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1"/>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right"/>
        <w:rPr>
          <w:rFonts w:ascii="Times New Roman;Times;serif" w:hAnsi="Times New Roman;Times;serif"/>
          <w:b/>
          <w:color w:val="000000"/>
          <w:sz w:val="20"/>
        </w:rPr>
      </w:pPr>
      <w:bookmarkStart w:id="510" w:name="ny20077966x1_n14_500b-proxycard_pg1"/>
      <w:bookmarkStart w:id="511" w:name="ny20077966x1_ex17b.htm"/>
      <w:bookmarkStart w:id="512" w:name="ksny20077966x1_ex17b"/>
      <w:bookmarkEnd w:id="510"/>
      <w:bookmarkEnd w:id="511"/>
      <w:bookmarkEnd w:id="512"/>
      <w:r>
        <w:rPr>
          <w:rFonts w:ascii="Times New Roman;Times;serif" w:hAnsi="Times New Roman;Times;serif"/>
          <w:b/>
          <w:color w:val="000000"/>
          <w:sz w:val="20"/>
        </w:rPr>
        <w:t>Exhibit 17(b)</w:t>
      </w:r>
      <w:r>
        <w:br w:type="page"/>
      </w:r>
    </w:p>
    <w:p>
      <w:pPr>
        <w:pStyle w:val="TextBody"/>
        <w:bidi w:val="0"/>
        <w:spacing w:before="305" w:after="283"/>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2"/>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color w:val="000000"/>
        </w:rPr>
      </w:pPr>
      <w:bookmarkStart w:id="513" w:name="ny20077966x1_n14_500b-proxycard_pg2"/>
      <w:bookmarkEnd w:id="513"/>
      <w:r>
        <w:rPr>
          <w:color w:val="000000"/>
        </w:rPr>
        <w:drawing>
          <wp:inline distT="0" distB="0" distL="0" distR="0">
            <wp:extent cx="7381875" cy="9553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6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jc w:val="left"/>
        <w:rPr/>
      </w:pPr>
      <w:r>
        <w:rPr/>
      </w:r>
      <w:bookmarkStart w:id="514" w:name="ny20077966x1_ex17c.htm"/>
      <w:bookmarkStart w:id="515" w:name="ksny20077966x1_ex17c"/>
      <w:bookmarkStart w:id="516" w:name="ny20077966x1_ex17c.htm"/>
      <w:bookmarkStart w:id="517" w:name="ksny20077966x1_ex17c"/>
      <w:bookmarkEnd w:id="516"/>
      <w:bookmarkEnd w:id="51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17(c)</w:t>
      </w:r>
    </w:p>
    <w:p>
      <w:pPr>
        <w:pStyle w:val="TextBody"/>
        <w:bidi w:val="0"/>
        <w:spacing w:before="0" w:after="0"/>
        <w:jc w:val="left"/>
        <w:rPr>
          <w:color w:val="000000"/>
        </w:rPr>
      </w:pPr>
      <w:r>
        <w:rPr>
          <w:color w:val="000000"/>
        </w:rPr>
        <w:drawing>
          <wp:inline distT="0" distB="0" distL="0" distR="0">
            <wp:extent cx="3248025" cy="704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64"/>
                    <a:stretch>
                      <a:fillRect/>
                    </a:stretch>
                  </pic:blipFill>
                  <pic:spPr bwMode="auto">
                    <a:xfrm>
                      <a:off x="0" y="0"/>
                      <a:ext cx="3248025" cy="7048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CONSENT OF KEEFE, BRUYETTE &amp; WOODS, INC.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before="270" w:after="283"/>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hereby consent to the inclusion of our opinion letter to the Special Committee of the Board of Directors of Chicago Atlantic BDC, Inc. (“LIEN”), as Annex B to the Joint Proxy Statement/Prospectus which forms a part of the Registration Statement on Form N-14 filed on the date hereof (the “Registration Statement”) relating to the proposed merger of Chicago Atlantic Real Estate Finance, Inc. with and into LIEN and to the references to such opinion and the quotation or summarization of such opinion contained therein.</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giving such consent, we do not admit that we come within the category of persons whose consent is required under Section 7 of the Securities Act of 1933, as amended (the “Securities Act”), or the rules and regulations of the Securities and Exchange Commission thereunder, nor do we hereby admit that we are experts with respect to any part of the Registration Statement within the meaning of the term “experts” as used in the Securities Act or the rules and regulations of the Securities and Exchange Commission thereunder.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247650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65"/>
                    <a:stretch>
                      <a:fillRect/>
                    </a:stretch>
                  </pic:blipFill>
                  <pic:spPr bwMode="auto">
                    <a:xfrm>
                      <a:off x="0" y="0"/>
                      <a:ext cx="2476500" cy="4572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KEEFE, BRUYETTE &amp; WOODS, INC.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Dated: July 30, 2026</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18" w:name="ny20077966x1_ex17d.htm"/>
      <w:bookmarkStart w:id="519" w:name="ksny20077966x1_ex17d"/>
      <w:bookmarkStart w:id="520" w:name="ny20077966x1_ex17d.htm"/>
      <w:bookmarkStart w:id="521" w:name="ksny20077966x1_ex17d"/>
      <w:bookmarkEnd w:id="520"/>
      <w:bookmarkEnd w:id="52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17(d)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Consent of Oppenheimer &amp; Co. Inc.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Oppenheimer &amp; Co. Inc. (“Oppenheimer”) hereby consents to the inclusion of our opinion letter, dated June 17, 2026, to: (i) the special committee (the “Committee”) of the Board of Directors (the “Board”) of Chicago Atlantic Real Estate Finance, Inc. (“REFI”); and (ii) the Board of REFI, each in their capacity as such, as Annex C to, and to the references thereto under the captions “Questions and Answers about the Special Meetings and the Merger,” “Summary of the Merger – Opinion of the REFI Special Committee’s Financial Advisor,” “Risk Factors – Risks Relating to the Merger,” “The Merger – Background of the Merger,” “The Merger – Reasons for the Merger – REFI” and “The Merger – Opinion of the REFI Special Committee’s Financial Advisor” in, the Joint Proxy Statement/Prospectus which forms a part of the Registration Statement on Form N-14 filed on the date hereof (the “Registration Statement”) relating to the proposed merger of REFI with and into Chicago Atlantic BDC, Inc. (“LIEN”), with LIEN as the surviving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giving the foregoing consent, we do not admit that we come within the category of persons whose consent is required under Section 7 of the Securities Act of 1933, as amended (the “Securities Act”), or the rules and regulations of the Securities and Exchange Commission promulgated thereunder, nor do we admit that we are experts with respect to any part of the Registration Statement within the meaning of the term “experts” as used in the Securities Act or the rules and regulations promulgated thereunder.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Notwithstanding the foregoing, it is understood that our consent is being delivered solely in connection with the filing of the above-mentioned Registration Statement and that our opinion is not to be used, circulated, quoted or otherwise referred to for any other purpose, nor is it to be filed with, included in or referred to in whole or in part in any registration statement (including any subsequent amendments to the above-mentioned Registration Statement), prospectus, proxy statement, information statement or any other document, without our prior written consent.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2" w:name="ze015f785ec0447f9a0c4454cb6adc8e7"/>
      <w:bookmarkStart w:id="523" w:name="ze015f785ec0447f9a0c4454cb6adc8e7"/>
      <w:bookmarkEnd w:id="523"/>
    </w:p>
    <w:tbl>
      <w:tblPr>
        <w:tblW w:w="2998" w:type="dxa"/>
        <w:jc w:val="left"/>
        <w:tblInd w:w="0" w:type="dxa"/>
        <w:tblLayout w:type="fixed"/>
        <w:tblCellMar>
          <w:top w:w="0" w:type="dxa"/>
          <w:left w:w="0" w:type="dxa"/>
          <w:bottom w:w="0" w:type="dxa"/>
          <w:right w:w="0" w:type="dxa"/>
        </w:tblCellMar>
      </w:tblPr>
      <w:tblGrid>
        <w:gridCol w:w="23"/>
        <w:gridCol w:w="2975"/>
      </w:tblGrid>
      <w:tr>
        <w:trPr/>
        <w:tc>
          <w:tcPr>
            <w:tcW w:w="23" w:type="dxa"/>
            <w:tcBorders/>
            <w:vAlign w:val="center"/>
          </w:tcPr>
          <w:p>
            <w:pPr>
              <w:pStyle w:val="TableContents"/>
              <w:bidi w:val="0"/>
              <w:spacing w:before="0" w:after="0"/>
              <w:jc w:val="left"/>
              <w:rPr>
                <w:color w:val="000000"/>
              </w:rPr>
            </w:pPr>
            <w:r>
              <w:rPr>
                <w:color w:val="000000"/>
              </w:rPr>
            </w:r>
          </w:p>
        </w:tc>
        <w:tc>
          <w:tcPr>
            <w:tcW w:w="2975" w:type="dxa"/>
            <w:tcBorders/>
            <w:vAlign w:val="center"/>
          </w:tcPr>
          <w:p>
            <w:pPr>
              <w:pStyle w:val="TableContents"/>
              <w:bidi w:val="0"/>
              <w:spacing w:before="0" w:after="0"/>
              <w:jc w:val="left"/>
              <w:rPr>
                <w:color w:val="000000"/>
              </w:rPr>
            </w:pPr>
            <w:r>
              <w:rPr>
                <w:color w:val="000000"/>
              </w:rPr>
              <w:t>/s/ Oppenheimer &amp; Co. Inc.</w:t>
            </w:r>
          </w:p>
        </w:tc>
      </w:tr>
      <w:tr>
        <w:trPr/>
        <w:tc>
          <w:tcPr>
            <w:tcW w:w="23" w:type="dxa"/>
            <w:tcBorders/>
            <w:vAlign w:val="center"/>
          </w:tcPr>
          <w:p>
            <w:pPr>
              <w:pStyle w:val="TableContents"/>
              <w:bidi w:val="0"/>
              <w:spacing w:before="0" w:after="283"/>
              <w:jc w:val="left"/>
              <w:rPr/>
            </w:pPr>
            <w:r>
              <w:rPr/>
            </w:r>
          </w:p>
        </w:tc>
        <w:tc>
          <w:tcPr>
            <w:tcW w:w="297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0"/>
              <w:jc w:val="left"/>
              <w:rPr>
                <w:color w:val="000000"/>
              </w:rPr>
            </w:pPr>
            <w:r>
              <w:rPr>
                <w:color w:val="000000"/>
              </w:rPr>
            </w:r>
          </w:p>
        </w:tc>
        <w:tc>
          <w:tcPr>
            <w:tcW w:w="2975" w:type="dxa"/>
            <w:tcBorders/>
            <w:vAlign w:val="center"/>
          </w:tcPr>
          <w:p>
            <w:pPr>
              <w:pStyle w:val="TableContents"/>
              <w:bidi w:val="0"/>
              <w:spacing w:before="0" w:after="0"/>
              <w:jc w:val="left"/>
              <w:rPr>
                <w:color w:val="000000"/>
              </w:rPr>
            </w:pPr>
            <w:r>
              <w:rPr>
                <w:color w:val="000000"/>
              </w:rPr>
              <w:t>OPPENHEIMER &amp; CO. INC.</w:t>
            </w:r>
          </w:p>
        </w:tc>
      </w:tr>
      <w:tr>
        <w:trPr/>
        <w:tc>
          <w:tcPr>
            <w:tcW w:w="23" w:type="dxa"/>
            <w:tcBorders/>
            <w:vAlign w:val="center"/>
          </w:tcPr>
          <w:p>
            <w:pPr>
              <w:pStyle w:val="TableContents"/>
              <w:bidi w:val="0"/>
              <w:spacing w:before="0" w:after="283"/>
              <w:jc w:val="left"/>
              <w:rPr/>
            </w:pPr>
            <w:r>
              <w:rPr/>
            </w:r>
          </w:p>
        </w:tc>
        <w:tc>
          <w:tcPr>
            <w:tcW w:w="297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0"/>
              <w:jc w:val="left"/>
              <w:rPr>
                <w:color w:val="000000"/>
              </w:rPr>
            </w:pPr>
            <w:r>
              <w:rPr>
                <w:color w:val="000000"/>
              </w:rPr>
            </w:r>
          </w:p>
        </w:tc>
        <w:tc>
          <w:tcPr>
            <w:tcW w:w="2975" w:type="dxa"/>
            <w:tcBorders/>
            <w:vAlign w:val="center"/>
          </w:tcPr>
          <w:p>
            <w:pPr>
              <w:pStyle w:val="TableContents"/>
              <w:bidi w:val="0"/>
              <w:spacing w:before="0" w:after="0"/>
              <w:jc w:val="left"/>
              <w:rPr>
                <w:color w:val="000000"/>
              </w:rPr>
            </w:pPr>
            <w:r>
              <w:rPr>
                <w:color w:val="000000"/>
              </w:rPr>
              <w:t>Dated: July 30, 2026</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524" w:name="ny20077966x1_ex18.htm"/>
      <w:bookmarkStart w:id="525" w:name="ksny20077966x1_ex18"/>
      <w:bookmarkStart w:id="526" w:name="ny20077966x1_ex18.htm"/>
      <w:bookmarkStart w:id="527" w:name="ksny20077966x1_ex18"/>
      <w:bookmarkEnd w:id="526"/>
      <w:bookmarkEnd w:id="527"/>
      <w:r>
        <w:br w:type="page"/>
      </w:r>
    </w:p>
    <w:p>
      <w:pPr>
        <w:pStyle w:val="TextBody"/>
        <w:bidi w:val="0"/>
        <w:spacing w:before="0" w:after="0"/>
        <w:ind w:left="0" w:right="15" w:hanging="0"/>
        <w:jc w:val="right"/>
        <w:rPr>
          <w:rFonts w:ascii="Times New Roman" w:hAnsi="Times New Roman"/>
          <w:b/>
          <w:color w:val="000000"/>
          <w:sz w:val="20"/>
        </w:rPr>
      </w:pPr>
      <w:r>
        <w:rPr>
          <w:rFonts w:ascii="Times New Roman" w:hAnsi="Times New Roman"/>
          <w:b/>
          <w:color w:val="000000"/>
          <w:sz w:val="20"/>
        </w:rPr>
        <w:t>Exhibit 18</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N-14</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Chicago Atlantic BDC,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and Carry Forward Securities</w:t>
      </w:r>
      <w:r>
        <w:rPr>
          <w:rFonts w:ascii="Times New Roman" w:hAnsi="Times New Roman"/>
          <w:sz w:val="24"/>
        </w:rPr>
        <w:t xml:space="preserve"> </w:t>
      </w:r>
    </w:p>
    <w:tbl>
      <w:tblPr>
        <w:tblW w:w="15448" w:type="dxa"/>
        <w:jc w:val="left"/>
        <w:tblInd w:w="0" w:type="dxa"/>
        <w:tblLayout w:type="fixed"/>
        <w:tblCellMar>
          <w:top w:w="28" w:type="dxa"/>
          <w:left w:w="28" w:type="dxa"/>
          <w:bottom w:w="28" w:type="dxa"/>
          <w:right w:w="28" w:type="dxa"/>
        </w:tblCellMar>
      </w:tblPr>
      <w:tblGrid>
        <w:gridCol w:w="1126"/>
        <w:gridCol w:w="946"/>
        <w:gridCol w:w="991"/>
        <w:gridCol w:w="1276"/>
        <w:gridCol w:w="1186"/>
        <w:gridCol w:w="1156"/>
        <w:gridCol w:w="1786"/>
        <w:gridCol w:w="124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or Carry Forward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7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 Offering Price</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 xml:space="preserve">Carry Forward </w:t>
              <w:br/>
              <w:t>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spacing w:val="0"/>
              </w:rPr>
              <w:t>Filing Fee Previously Paid In Connection with Unsold Securities to be carried Forward</w:t>
            </w:r>
            <w:r>
              <w:rPr/>
              <w:t xml:space="preserve"> </w:t>
            </w:r>
          </w:p>
        </w:tc>
      </w:tr>
      <w:tr>
        <w:trPr/>
        <w:tc>
          <w:tcPr>
            <w:tcW w:w="1544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$0.01 per share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457(o)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(1)</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7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$267,231,931.72</w:t>
            </w:r>
            <w:r>
              <w:rPr>
                <w:position w:val="8"/>
                <w:sz w:val="19"/>
              </w:rPr>
              <w:t>(1)</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0.00013810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$36,904.73</w:t>
            </w:r>
            <w:r>
              <w:rPr>
                <w:position w:val="8"/>
                <w:sz w:val="19"/>
              </w:rPr>
              <w:t>(2)</w:t>
            </w:r>
          </w:p>
        </w:tc>
        <w:tc>
          <w:tcPr>
            <w:tcW w:w="10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spacing w:val="0"/>
              </w:rPr>
            </w:pPr>
            <w:r>
              <w:rPr>
                <w:spacing w:val="0"/>
              </w:rPr>
              <w:t>Fees Previously Paid</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7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$267,231,931.72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$36,904.73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$0.00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39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$36,904.73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r>
    </w:tbl>
    <w:tbl>
      <w:tblPr>
        <w:tblW w:w="10205" w:type="dxa"/>
        <w:jc w:val="left"/>
        <w:tblInd w:w="0" w:type="dxa"/>
        <w:tblLayout w:type="fixed"/>
        <w:tblCellMar>
          <w:top w:w="28" w:type="dxa"/>
          <w:left w:w="28" w:type="dxa"/>
          <w:bottom w:w="28" w:type="dxa"/>
          <w:right w:w="28" w:type="dxa"/>
        </w:tblCellMar>
      </w:tblPr>
      <w:tblGrid>
        <w:gridCol w:w="310"/>
        <w:gridCol w:w="9895"/>
      </w:tblGrid>
      <w:tr>
        <w:trPr/>
        <w:tc>
          <w:tcPr>
            <w:tcW w:w="310" w:type="dxa"/>
            <w:tcBorders/>
            <w:vAlign w:val="center"/>
          </w:tcPr>
          <w:p>
            <w:pPr>
              <w:pStyle w:val="TableContents"/>
              <w:bidi w:val="0"/>
              <w:spacing w:before="0" w:after="283"/>
              <w:jc w:val="left"/>
              <w:rPr/>
            </w:pPr>
            <w:r>
              <w:rPr/>
              <w:t> </w:t>
            </w:r>
          </w:p>
        </w:tc>
        <w:tc>
          <w:tcPr>
            <w:tcW w:w="9895" w:type="dxa"/>
            <w:tcBorders/>
            <w:vAlign w:val="center"/>
          </w:tcPr>
          <w:p>
            <w:pPr>
              <w:pStyle w:val="TableContents"/>
              <w:bidi w:val="0"/>
              <w:spacing w:before="0" w:after="283"/>
              <w:jc w:val="left"/>
              <w:rPr/>
            </w:pPr>
            <w:r>
              <w:rPr/>
              <w:t> </w:t>
            </w:r>
          </w:p>
        </w:tc>
      </w:tr>
      <w:tr>
        <w:trPr/>
        <w:tc>
          <w:tcPr>
            <w:tcW w:w="310"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895" w:type="dxa"/>
            <w:tcBorders/>
            <w:tcMar>
              <w:top w:w="0" w:type="dxa"/>
              <w:left w:w="0" w:type="dxa"/>
              <w:bottom w:w="0" w:type="dxa"/>
              <w:right w:w="0" w:type="dxa"/>
            </w:tcMar>
            <w:vAlign w:val="center"/>
          </w:tcPr>
          <w:p>
            <w:pPr>
              <w:pStyle w:val="TableContents"/>
              <w:bidi w:val="0"/>
              <w:spacing w:before="0" w:after="80"/>
              <w:jc w:val="left"/>
              <w:rPr/>
            </w:pPr>
            <w:r>
              <w:rPr>
                <w:sz w:val="20"/>
              </w:rPr>
              <w:t>In accordance with Rule 457(f) under the Securities Act of 1933, as amended, the proposed maximum aggregate value of the transaction estimated solely for the purposes of calculating the filing fee was calculated, as of July 22, 2026, based on the market value of shares of common stock of Chicago Atlantic Real Estate Finance, Inc. (“REFI”) using the average of the high and low price of the REFI common stock on July 22, 2026, as reported on the Nasdaq Global Market and 26,020,636 shares of REFI common stock outstanding as of July 22, 2026.</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41"/>
        <w:gridCol w:w="9864"/>
      </w:tblGrid>
      <w:tr>
        <w:trPr/>
        <w:tc>
          <w:tcPr>
            <w:tcW w:w="341"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341"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64" w:type="dxa"/>
            <w:tcBorders/>
            <w:tcMar>
              <w:top w:w="0" w:type="dxa"/>
              <w:left w:w="0" w:type="dxa"/>
              <w:bottom w:w="0" w:type="dxa"/>
              <w:right w:w="0" w:type="dxa"/>
            </w:tcMar>
            <w:vAlign w:val="center"/>
          </w:tcPr>
          <w:p>
            <w:pPr>
              <w:pStyle w:val="TableContents"/>
              <w:bidi w:val="0"/>
              <w:spacing w:before="0" w:after="80"/>
              <w:jc w:val="left"/>
              <w:rPr/>
            </w:pPr>
            <w:r>
              <w:rPr>
                <w:sz w:val="20"/>
              </w:rPr>
              <w:t>In accordance with Rule 457(o) under the Securities Act, the filing fee was determined as the product of the maximum aggregate value of the transation as calculated in note (1) above multiplied by the filing fee rate of $138.10 per million dollars.</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43162/000119312526115112/lien-20251231.htm" TargetMode="External"/><Relationship Id="rId3" Type="http://schemas.openxmlformats.org/officeDocument/2006/relationships/hyperlink" Target="https://www.sec.gov/ix?doc=/Archives/edgar/data/1843162/000119312526115112/lien-20251231.htm" TargetMode="External"/><Relationship Id="rId4" Type="http://schemas.openxmlformats.org/officeDocument/2006/relationships/hyperlink" Target="https://www.sec.gov/ix?doc=/Archives/edgar/data/1843162/000119312526115112/lien-20251231.htm" TargetMode="External"/><Relationship Id="rId5" Type="http://schemas.openxmlformats.org/officeDocument/2006/relationships/hyperlink" Target="https://www.sec.gov/ix?doc=/Archives/edgar/data/1843162/000119312526115112/lien-20251231.htm" TargetMode="External"/><Relationship Id="rId6" Type="http://schemas.openxmlformats.org/officeDocument/2006/relationships/hyperlink" Target="https://www.sec.gov/ix?doc=/Archives/edgar/data/1843162/000119312526115112/lien-20251231.htm" TargetMode="External"/><Relationship Id="rId7" Type="http://schemas.openxmlformats.org/officeDocument/2006/relationships/hyperlink" Target="https://www.sec.gov/ix?doc=/Archives/edgar/data/1843162/000119312526115112/lien-20251231.htm" TargetMode="External"/><Relationship Id="rId8" Type="http://schemas.openxmlformats.org/officeDocument/2006/relationships/hyperlink" Target="https://www.sec.gov/ix?doc=/Archives/edgar/data/1843162/000119312526115112/lien-20251231.htm" TargetMode="External"/><Relationship Id="rId9" Type="http://schemas.openxmlformats.org/officeDocument/2006/relationships/hyperlink" Target="https://www.sec.gov/ix?doc=/Archives/edgar/data/1843162/000119312526222738/lien-20260331.htm" TargetMode="External"/><Relationship Id="rId10" Type="http://schemas.openxmlformats.org/officeDocument/2006/relationships/hyperlink" Target="https://www.sec.gov/ix?doc=/Archives/edgar/data/1843162/000119312526115112/lien-20251231.htm" TargetMode="External"/><Relationship Id="rId11" Type="http://schemas.openxmlformats.org/officeDocument/2006/relationships/hyperlink" Target="https://www.sec.gov/ix?doc=/Archives/edgar/data/1843162/000119312526222738/lien-20260331.htm" TargetMode="External"/><Relationship Id="rId12" Type="http://schemas.openxmlformats.org/officeDocument/2006/relationships/hyperlink" Target="https://www.sec.gov/ix?doc=/Archives/edgar/data/1843162/000119312526115112/lien-20251231.htm" TargetMode="External"/><Relationship Id="rId13" Type="http://schemas.openxmlformats.org/officeDocument/2006/relationships/hyperlink" Target="https://www.sec.gov/ix?doc=/Archives/edgar/data/1843162/000119312526222738/lien-20260331.htm" TargetMode="External"/><Relationship Id="rId14" Type="http://schemas.openxmlformats.org/officeDocument/2006/relationships/hyperlink" Target="https://www.sec.gov/ix?doc=/Archives/edgar/data/1843162/000119312526115112/lien-20251231.htm" TargetMode="External"/><Relationship Id="rId15" Type="http://schemas.openxmlformats.org/officeDocument/2006/relationships/hyperlink" Target="https://www.sec.gov/ix?doc=/Archives/edgar/data/1843162/000119312526192503/lien-20260429.htm" TargetMode="External"/><Relationship Id="rId16" Type="http://schemas.openxmlformats.org/officeDocument/2006/relationships/hyperlink" Target="https://www.sec.gov/ix?doc=/Archives/edgar/data/1843162/000119312526192503/lien-20260429.htm" TargetMode="External"/><Relationship Id="rId17" Type="http://schemas.openxmlformats.org/officeDocument/2006/relationships/hyperlink" Target="https://www.sec.gov/ix?doc=/Archives/edgar/data/1867949/000119312526103027/refi-20251231.htm" TargetMode="External"/><Relationship Id="rId18" Type="http://schemas.openxmlformats.org/officeDocument/2006/relationships/hyperlink" Target="https://www.sec.gov/ix?doc=/Archives/edgar/data/1867949/000119312526210274/refi-20260331.htm" TargetMode="External"/><Relationship Id="rId19" Type="http://schemas.openxmlformats.org/officeDocument/2006/relationships/hyperlink" Target="https://www.sec.gov/ix?doc=/Archives/edgar/data/1867949/000119312526103027/refi-20251231.htm" TargetMode="External"/><Relationship Id="rId20" Type="http://schemas.openxmlformats.org/officeDocument/2006/relationships/hyperlink" Target="https://www.sec.gov/ix?doc=/Archives/edgar/data/1867949/000119312526210274/refi-20260331.htm" TargetMode="External"/><Relationship Id="rId21" Type="http://schemas.openxmlformats.org/officeDocument/2006/relationships/hyperlink" Target="https://www.sec.gov/ix?doc=/Archives/edgar/data/1867949/000119312526103027/refi-20251231.htm" TargetMode="External"/><Relationship Id="rId22" Type="http://schemas.openxmlformats.org/officeDocument/2006/relationships/hyperlink" Target="https://www.sec.gov/ix?doc=/Archives/edgar/data/1867949/000119312526210274/refi-20260331.htm" TargetMode="External"/><Relationship Id="rId23" Type="http://schemas.openxmlformats.org/officeDocument/2006/relationships/hyperlink" Target="https://www.sec.gov/ix?doc=/Archives/edgar/data/1867949/000119312526103027/refi-20251231.htm" TargetMode="External"/><Relationship Id="rId24" Type="http://schemas.openxmlformats.org/officeDocument/2006/relationships/hyperlink" Target="https://www.sec.gov/ix?doc=/Archives/edgar/data/1867949/000119312526171796/refi-20260422.htm" TargetMode="External"/><Relationship Id="rId25" Type="http://schemas.openxmlformats.org/officeDocument/2006/relationships/hyperlink" Target="https://www.sec.gov/ix?doc=/Archives/edgar/data/1867949/000119312526171796/refi-20260422.htm" TargetMode="External"/><Relationship Id="rId26" Type="http://schemas.openxmlformats.org/officeDocument/2006/relationships/hyperlink" Target="https://www.sec.gov/ix?doc=/Archives/edgar/data/1867949/000119312526103027/refi-20251231.htm" TargetMode="External"/><Relationship Id="rId27" Type="http://schemas.openxmlformats.org/officeDocument/2006/relationships/hyperlink" Target="https://www.sec.gov/ix?doc=/Archives/edgar/data/1867949/000119312526103027/refi-20251231.htm" TargetMode="External"/><Relationship Id="rId28" Type="http://schemas.openxmlformats.org/officeDocument/2006/relationships/hyperlink" Target="https://www.sec.gov/ix?doc=/Archives/edgar/data/1843162/000119312526115112/lien-20251231.htm" TargetMode="External"/><Relationship Id="rId29" Type="http://schemas.openxmlformats.org/officeDocument/2006/relationships/hyperlink" Target="https://www.sec.gov/ix?doc=/Archives/edgar/data/1867949/000119312526103027/refi-20251231.htm" TargetMode="External"/><Relationship Id="rId30" Type="http://schemas.openxmlformats.org/officeDocument/2006/relationships/hyperlink" Target="https://www.sec.gov/ix?doc=/Archives/edgar/data/1843162/000119312526115112/lien-20251231.htm" TargetMode="External"/><Relationship Id="rId31" Type="http://schemas.openxmlformats.org/officeDocument/2006/relationships/hyperlink" Target="https://www.sec.gov/ix?doc=/Archives/edgar/data/1843162/000119312526222738/lien-20260331.htm" TargetMode="External"/><Relationship Id="rId32" Type="http://schemas.openxmlformats.org/officeDocument/2006/relationships/hyperlink" Target="https://www.sec.gov/ix?doc=/Archives/edgar/data/1843162/000119312526192503/lien-20260429.htm" TargetMode="External"/><Relationship Id="rId33" Type="http://schemas.openxmlformats.org/officeDocument/2006/relationships/hyperlink" Target="https://www.sec.gov/ix?doc=/Archives/edgar/data/1843162/000121390026031536/ea0282548-8k_chicago.htm" TargetMode="External"/><Relationship Id="rId34" Type="http://schemas.openxmlformats.org/officeDocument/2006/relationships/hyperlink" Target="https://www.sec.gov/ix?doc=/Archives/edgar/data/1843162/000121390026043147/ea0286139-8k_chicago.htm" TargetMode="External"/><Relationship Id="rId35" Type="http://schemas.openxmlformats.org/officeDocument/2006/relationships/hyperlink" Target="https://www.sec.gov/ix?doc=/Archives/edgar/data/1843162/000121390026056216/ea0290698-8k_chicago.htm" TargetMode="External"/><Relationship Id="rId36" Type="http://schemas.openxmlformats.org/officeDocument/2006/relationships/hyperlink" Target="https://www.sec.gov/ix?doc=/Archives/edgar/data/1843162/000121390026069853/ea0295159-8k425_chicago.htm" TargetMode="External"/><Relationship Id="rId37" Type="http://schemas.openxmlformats.org/officeDocument/2006/relationships/hyperlink" Target="https://www.sec.gov/ix?doc=/Archives/edgar/data/1867949/000119312526103027/refi-20251231.htm" TargetMode="External"/><Relationship Id="rId38" Type="http://schemas.openxmlformats.org/officeDocument/2006/relationships/hyperlink" Target="https://www.sec.gov/ix?doc=/Archives/edgar/data/1867949/000119312526210274/refi-20260331.htm" TargetMode="External"/><Relationship Id="rId39" Type="http://schemas.openxmlformats.org/officeDocument/2006/relationships/hyperlink" Target="https://www.sec.gov/ix?doc=/Archives/edgar/data/1867949/000119312526171796/refi-20260422.htm" TargetMode="External"/><Relationship Id="rId40" Type="http://schemas.openxmlformats.org/officeDocument/2006/relationships/hyperlink" Target="https://www.sec.gov/ix?doc=/Archives/edgar/data/1867949/000121390026026631/ea0280819-8k_chicago.htm" TargetMode="External"/><Relationship Id="rId41" Type="http://schemas.openxmlformats.org/officeDocument/2006/relationships/hyperlink" Target="https://www.sec.gov/ix?doc=/Archives/edgar/data/1867949/000121390026053036/ea0289393-8k_chicago.htm" TargetMode="External"/><Relationship Id="rId42" Type="http://schemas.openxmlformats.org/officeDocument/2006/relationships/hyperlink" Target="https://www.sec.gov/ix?doc=/Archives/edgar/data/1867949/000121390026067830/ea0294462-8k_chicago.htm" TargetMode="External"/><Relationship Id="rId43" Type="http://schemas.openxmlformats.org/officeDocument/2006/relationships/hyperlink" Target="https://www.sec.gov/ix?doc=/Archives/edgar/data/1867949/000121390026069861/ea0295037-8k425_chicago.htm" TargetMode="External"/><Relationship Id="rId44" Type="http://schemas.openxmlformats.org/officeDocument/2006/relationships/hyperlink" Target="https://www.sec.gov/ix?doc=/Archives/edgar/data/1867949/000121390026077585/ea0297476-8k425_chicago.htm" TargetMode="External"/><Relationship Id="rId45" Type="http://schemas.openxmlformats.org/officeDocument/2006/relationships/image" Target="media/image1.jpeg"/><Relationship Id="rId46" Type="http://schemas.openxmlformats.org/officeDocument/2006/relationships/image" Target="media/image2.jpeg"/><Relationship Id="rId47" Type="http://schemas.openxmlformats.org/officeDocument/2006/relationships/image" Target="media/image3.jpeg"/><Relationship Id="rId48" Type="http://schemas.openxmlformats.org/officeDocument/2006/relationships/hyperlink" Target="https://www.sec.gov/Archives/edgar/data/1843162/000095010322011767/dp176400_ex0301.htm" TargetMode="External"/><Relationship Id="rId49" Type="http://schemas.openxmlformats.org/officeDocument/2006/relationships/hyperlink" Target="https://www.sec.gov/Archives/edgar/data/1843162/000114036124045703/ef20034548_ex3-2.htm" TargetMode="External"/><Relationship Id="rId50" Type="http://schemas.openxmlformats.org/officeDocument/2006/relationships/hyperlink" Target="https://www.sec.gov/Archives/edgar/data/1843162/000121390025123957/ea027042501ex3-3_chicago.htm" TargetMode="External"/><Relationship Id="rId51" Type="http://schemas.openxmlformats.org/officeDocument/2006/relationships/hyperlink" Target="https://www.sec.gov/Archives/edgar/data/1843162/000121390026069853/ea029515901ex2-1.htm" TargetMode="External"/><Relationship Id="rId52" Type="http://schemas.openxmlformats.org/officeDocument/2006/relationships/hyperlink" Target="https://www.sec.gov/Archives/edgar/data/1843162/000095010322011767/dp176400_ex0401.htm" TargetMode="External"/><Relationship Id="rId53" Type="http://schemas.openxmlformats.org/officeDocument/2006/relationships/hyperlink" Target="https://www.sec.gov/Archives/edgar/data/1843162/000095010324014651/dp219097_ex1001.htm" TargetMode="External"/><Relationship Id="rId54" Type="http://schemas.openxmlformats.org/officeDocument/2006/relationships/hyperlink" Target="https://www.sec.gov/Archives/edgar/data/1843162/000095010325002119/dp225007_ex1002.htm" TargetMode="External"/><Relationship Id="rId55" Type="http://schemas.openxmlformats.org/officeDocument/2006/relationships/hyperlink" Target="https://www.sec.gov/Archives/edgar/data/1843162/000095010325002119/dp225007_ex1003.htm" TargetMode="External"/><Relationship Id="rId56" Type="http://schemas.openxmlformats.org/officeDocument/2006/relationships/hyperlink" Target="https://www.sec.gov/Archives/edgar/data/1843162/000095010322011767/dp176400_ex1004.htm" TargetMode="External"/><Relationship Id="rId57" Type="http://schemas.openxmlformats.org/officeDocument/2006/relationships/hyperlink" Target="https://www.sec.gov/Archives/edgar/data/1843162/000095010324014651/dp219097_ex1002.htm" TargetMode="External"/><Relationship Id="rId58" Type="http://schemas.openxmlformats.org/officeDocument/2006/relationships/hyperlink" Target="https://www.sec.gov/Archives/edgar/data/1843162/000095010322011767/dp176400_ex1006.htm" TargetMode="External"/><Relationship Id="rId59" Type="http://schemas.openxmlformats.org/officeDocument/2006/relationships/image" Target="media/image4.jpeg"/><Relationship Id="rId60" Type="http://schemas.openxmlformats.org/officeDocument/2006/relationships/image" Target="media/image5.jpeg"/><Relationship Id="rId61" Type="http://schemas.openxmlformats.org/officeDocument/2006/relationships/image" Target="media/image6.jpeg"/><Relationship Id="rId62" Type="http://schemas.openxmlformats.org/officeDocument/2006/relationships/image" Target="media/image7.jpeg"/><Relationship Id="rId63" Type="http://schemas.openxmlformats.org/officeDocument/2006/relationships/image" Target="media/image8.jpeg"/><Relationship Id="rId64" Type="http://schemas.openxmlformats.org/officeDocument/2006/relationships/image" Target="media/image9.jpeg"/><Relationship Id="rId65" Type="http://schemas.openxmlformats.org/officeDocument/2006/relationships/image" Target="media/image10.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193951</Words>
  <Characters>1025773</Characters>
  <CharactersWithSpaces>1223708</CharactersWithSpaces>
  <Paragraphs>15197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